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F642D" w14:textId="2F29E146" w:rsidR="00770B04" w:rsidRDefault="00E8488A" w:rsidP="00650337">
      <w:pPr>
        <w:spacing w:line="360" w:lineRule="auto"/>
        <w:jc w:val="center"/>
        <w:rPr>
          <w:rStyle w:val="s2"/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Редакционный к</w:t>
      </w:r>
      <w:r w:rsidR="00770B04" w:rsidRPr="006D7E57">
        <w:rPr>
          <w:sz w:val="28"/>
          <w:szCs w:val="28"/>
        </w:rPr>
        <w:t xml:space="preserve">омментарий к статье </w:t>
      </w:r>
      <w:r w:rsidR="00172889" w:rsidRPr="006D7E57">
        <w:rPr>
          <w:sz w:val="28"/>
          <w:szCs w:val="28"/>
        </w:rPr>
        <w:t>«</w:t>
      </w:r>
      <w:r w:rsidRPr="00E8488A">
        <w:rPr>
          <w:rFonts w:eastAsia="Times New Roman"/>
          <w:b/>
          <w:bCs/>
          <w:color w:val="000000"/>
          <w:sz w:val="28"/>
          <w:szCs w:val="28"/>
        </w:rPr>
        <w:t>Эндопротезирование коленного сустава у пациентов, находящихся на хроническом гемодиализе: стандартная операция или сложный случай?</w:t>
      </w:r>
      <w:r w:rsidR="00172889" w:rsidRPr="006D7E57">
        <w:rPr>
          <w:rStyle w:val="s2"/>
          <w:rFonts w:eastAsia="Times New Roman"/>
          <w:b/>
          <w:bCs/>
          <w:color w:val="000000"/>
          <w:sz w:val="28"/>
          <w:szCs w:val="28"/>
        </w:rPr>
        <w:t>»</w:t>
      </w:r>
    </w:p>
    <w:p w14:paraId="522164E2" w14:textId="77777777" w:rsidR="00B536BB" w:rsidRPr="006D7E57" w:rsidRDefault="00B536BB" w:rsidP="00650337">
      <w:pPr>
        <w:spacing w:line="360" w:lineRule="auto"/>
        <w:jc w:val="center"/>
        <w:rPr>
          <w:sz w:val="28"/>
          <w:szCs w:val="28"/>
        </w:rPr>
      </w:pPr>
    </w:p>
    <w:p w14:paraId="30405CB4" w14:textId="66F32EF7" w:rsidR="00475BC1" w:rsidRPr="006D7E57" w:rsidRDefault="00997656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t>Тотальное э</w:t>
      </w:r>
      <w:r w:rsidR="00475BC1" w:rsidRPr="006D7E57">
        <w:rPr>
          <w:sz w:val="28"/>
          <w:szCs w:val="28"/>
        </w:rPr>
        <w:t xml:space="preserve">ндопротезирование </w:t>
      </w:r>
      <w:r w:rsidR="00EE5345" w:rsidRPr="006D7E57">
        <w:rPr>
          <w:sz w:val="28"/>
          <w:szCs w:val="28"/>
        </w:rPr>
        <w:t>зарекомендовало себя как</w:t>
      </w:r>
      <w:r w:rsidR="00AA69C6" w:rsidRPr="006D7E57">
        <w:rPr>
          <w:sz w:val="28"/>
          <w:szCs w:val="28"/>
        </w:rPr>
        <w:t xml:space="preserve"> </w:t>
      </w:r>
      <w:r w:rsidR="00BA2653" w:rsidRPr="006D7E57">
        <w:rPr>
          <w:sz w:val="28"/>
          <w:szCs w:val="28"/>
        </w:rPr>
        <w:t>эффективны</w:t>
      </w:r>
      <w:r w:rsidR="00EE5345" w:rsidRPr="006D7E57">
        <w:rPr>
          <w:sz w:val="28"/>
          <w:szCs w:val="28"/>
        </w:rPr>
        <w:t>й</w:t>
      </w:r>
      <w:r w:rsidR="00403987" w:rsidRPr="006D7E57">
        <w:rPr>
          <w:sz w:val="28"/>
          <w:szCs w:val="28"/>
        </w:rPr>
        <w:t xml:space="preserve"> и </w:t>
      </w:r>
      <w:r w:rsidR="00BA2653" w:rsidRPr="006D7E57">
        <w:rPr>
          <w:sz w:val="28"/>
          <w:szCs w:val="28"/>
        </w:rPr>
        <w:t>над</w:t>
      </w:r>
      <w:r w:rsidR="00B536BB">
        <w:rPr>
          <w:sz w:val="28"/>
          <w:szCs w:val="28"/>
        </w:rPr>
        <w:t>е</w:t>
      </w:r>
      <w:r w:rsidR="00BA2653" w:rsidRPr="006D7E57">
        <w:rPr>
          <w:sz w:val="28"/>
          <w:szCs w:val="28"/>
        </w:rPr>
        <w:t>жны</w:t>
      </w:r>
      <w:r w:rsidR="00EE5345" w:rsidRPr="006D7E57">
        <w:rPr>
          <w:sz w:val="28"/>
          <w:szCs w:val="28"/>
        </w:rPr>
        <w:t>й</w:t>
      </w:r>
      <w:r w:rsidR="00BA2653" w:rsidRPr="006D7E57">
        <w:rPr>
          <w:sz w:val="28"/>
          <w:szCs w:val="28"/>
        </w:rPr>
        <w:t xml:space="preserve"> </w:t>
      </w:r>
      <w:r w:rsidR="00403987" w:rsidRPr="006D7E57">
        <w:rPr>
          <w:sz w:val="28"/>
          <w:szCs w:val="28"/>
        </w:rPr>
        <w:t xml:space="preserve">метод хирургического лечения </w:t>
      </w:r>
      <w:r w:rsidR="006C066C" w:rsidRPr="006D7E57">
        <w:rPr>
          <w:sz w:val="28"/>
          <w:szCs w:val="28"/>
        </w:rPr>
        <w:t>пациентов с терминальными стадиями дегенеративных заболеваний коленного сустава</w:t>
      </w:r>
      <w:r w:rsidR="00B536BB">
        <w:rPr>
          <w:sz w:val="28"/>
          <w:szCs w:val="28"/>
        </w:rPr>
        <w:t xml:space="preserve"> </w:t>
      </w:r>
      <w:r w:rsidR="00B536BB" w:rsidRPr="00B536BB">
        <w:rPr>
          <w:sz w:val="28"/>
          <w:szCs w:val="28"/>
        </w:rPr>
        <w:t>[1]</w:t>
      </w:r>
      <w:r w:rsidR="002B6C8D" w:rsidRPr="006D7E57">
        <w:rPr>
          <w:sz w:val="28"/>
          <w:szCs w:val="28"/>
        </w:rPr>
        <w:t xml:space="preserve">. Тем не </w:t>
      </w:r>
      <w:proofErr w:type="gramStart"/>
      <w:r w:rsidR="002B6C8D" w:rsidRPr="006D7E57">
        <w:rPr>
          <w:sz w:val="28"/>
          <w:szCs w:val="28"/>
        </w:rPr>
        <w:t>менее</w:t>
      </w:r>
      <w:proofErr w:type="gramEnd"/>
      <w:r w:rsidR="002B6C8D" w:rsidRPr="006D7E57">
        <w:rPr>
          <w:sz w:val="28"/>
          <w:szCs w:val="28"/>
        </w:rPr>
        <w:t xml:space="preserve"> любо</w:t>
      </w:r>
      <w:r w:rsidR="00EA1A5E" w:rsidRPr="006D7E57">
        <w:rPr>
          <w:sz w:val="28"/>
          <w:szCs w:val="28"/>
        </w:rPr>
        <w:t>й</w:t>
      </w:r>
      <w:r w:rsidR="00650337">
        <w:rPr>
          <w:sz w:val="28"/>
          <w:szCs w:val="28"/>
        </w:rPr>
        <w:t xml:space="preserve"> </w:t>
      </w:r>
      <w:r w:rsidR="00A21D32" w:rsidRPr="006D7E57">
        <w:rPr>
          <w:sz w:val="28"/>
          <w:szCs w:val="28"/>
        </w:rPr>
        <w:t xml:space="preserve">отличный от идиопатического </w:t>
      </w:r>
      <w:proofErr w:type="spellStart"/>
      <w:r w:rsidR="00A21D32" w:rsidRPr="006D7E57">
        <w:rPr>
          <w:sz w:val="28"/>
          <w:szCs w:val="28"/>
        </w:rPr>
        <w:t>гонартроза</w:t>
      </w:r>
      <w:proofErr w:type="spellEnd"/>
      <w:r w:rsidR="00EC71B3" w:rsidRPr="006D7E57">
        <w:rPr>
          <w:sz w:val="28"/>
          <w:szCs w:val="28"/>
        </w:rPr>
        <w:t xml:space="preserve"> патологический процесс,</w:t>
      </w:r>
      <w:r w:rsidR="00D334C6" w:rsidRPr="006D7E57">
        <w:rPr>
          <w:sz w:val="28"/>
          <w:szCs w:val="28"/>
        </w:rPr>
        <w:t xml:space="preserve"> приводящий к разрушению сустава</w:t>
      </w:r>
      <w:r w:rsidR="002B6C8D" w:rsidRPr="006D7E57">
        <w:rPr>
          <w:sz w:val="28"/>
          <w:szCs w:val="28"/>
        </w:rPr>
        <w:t xml:space="preserve">, </w:t>
      </w:r>
      <w:r w:rsidR="00A27093" w:rsidRPr="006D7E57">
        <w:rPr>
          <w:sz w:val="28"/>
          <w:szCs w:val="28"/>
        </w:rPr>
        <w:t>ассоциирован с</w:t>
      </w:r>
      <w:r w:rsidR="002B6C8D" w:rsidRPr="006D7E57">
        <w:rPr>
          <w:sz w:val="28"/>
          <w:szCs w:val="28"/>
        </w:rPr>
        <w:t xml:space="preserve"> </w:t>
      </w:r>
      <w:r w:rsidR="00A27093" w:rsidRPr="006D7E57">
        <w:rPr>
          <w:sz w:val="28"/>
          <w:szCs w:val="28"/>
        </w:rPr>
        <w:t>повышенным риском</w:t>
      </w:r>
      <w:r w:rsidR="002B6C8D" w:rsidRPr="006D7E57">
        <w:rPr>
          <w:sz w:val="28"/>
          <w:szCs w:val="28"/>
        </w:rPr>
        <w:t xml:space="preserve"> ранних</w:t>
      </w:r>
      <w:r w:rsidR="008E7E94" w:rsidRPr="006D7E57">
        <w:rPr>
          <w:sz w:val="28"/>
          <w:szCs w:val="28"/>
        </w:rPr>
        <w:t xml:space="preserve"> и поздних</w:t>
      </w:r>
      <w:r w:rsidR="002B6C8D" w:rsidRPr="006D7E57">
        <w:rPr>
          <w:sz w:val="28"/>
          <w:szCs w:val="28"/>
        </w:rPr>
        <w:t xml:space="preserve"> </w:t>
      </w:r>
      <w:r w:rsidR="008E7E94" w:rsidRPr="006D7E57">
        <w:rPr>
          <w:sz w:val="28"/>
          <w:szCs w:val="28"/>
        </w:rPr>
        <w:t>послеоперационных осложнений, среди которых</w:t>
      </w:r>
      <w:r w:rsidR="00302B8A" w:rsidRPr="006D7E57">
        <w:rPr>
          <w:sz w:val="28"/>
          <w:szCs w:val="28"/>
        </w:rPr>
        <w:t xml:space="preserve"> </w:t>
      </w:r>
      <w:r w:rsidR="00106FB2" w:rsidRPr="006D7E57">
        <w:rPr>
          <w:sz w:val="28"/>
          <w:szCs w:val="28"/>
        </w:rPr>
        <w:t>превалируют</w:t>
      </w:r>
      <w:r w:rsidR="008E7E94" w:rsidRPr="006D7E57">
        <w:rPr>
          <w:sz w:val="28"/>
          <w:szCs w:val="28"/>
        </w:rPr>
        <w:t xml:space="preserve"> </w:t>
      </w:r>
      <w:proofErr w:type="spellStart"/>
      <w:r w:rsidR="008E7E94" w:rsidRPr="006D7E57">
        <w:rPr>
          <w:sz w:val="28"/>
          <w:szCs w:val="28"/>
        </w:rPr>
        <w:t>перипротезн</w:t>
      </w:r>
      <w:r w:rsidR="00FC0ADB" w:rsidRPr="006D7E57">
        <w:rPr>
          <w:sz w:val="28"/>
          <w:szCs w:val="28"/>
        </w:rPr>
        <w:t>ая</w:t>
      </w:r>
      <w:proofErr w:type="spellEnd"/>
      <w:r w:rsidR="008E7E94" w:rsidRPr="006D7E57">
        <w:rPr>
          <w:sz w:val="28"/>
          <w:szCs w:val="28"/>
        </w:rPr>
        <w:t xml:space="preserve"> инфекция</w:t>
      </w:r>
      <w:r w:rsidR="00A12133" w:rsidRPr="006D7E57">
        <w:rPr>
          <w:sz w:val="28"/>
          <w:szCs w:val="28"/>
        </w:rPr>
        <w:t xml:space="preserve"> </w:t>
      </w:r>
      <w:r w:rsidR="008E7E94" w:rsidRPr="006D7E57">
        <w:rPr>
          <w:sz w:val="28"/>
          <w:szCs w:val="28"/>
        </w:rPr>
        <w:t xml:space="preserve">и асептическое </w:t>
      </w:r>
      <w:r w:rsidR="00BB5F2E" w:rsidRPr="006D7E57">
        <w:rPr>
          <w:sz w:val="28"/>
          <w:szCs w:val="28"/>
        </w:rPr>
        <w:t xml:space="preserve">расшатывание </w:t>
      </w:r>
      <w:r w:rsidR="00FC0ADB" w:rsidRPr="006D7E57">
        <w:rPr>
          <w:sz w:val="28"/>
          <w:szCs w:val="28"/>
        </w:rPr>
        <w:t>имплантат</w:t>
      </w:r>
      <w:r w:rsidR="00D80708">
        <w:rPr>
          <w:sz w:val="28"/>
          <w:szCs w:val="28"/>
        </w:rPr>
        <w:t>а</w:t>
      </w:r>
      <w:r w:rsidR="00B536BB" w:rsidRPr="00B536BB">
        <w:rPr>
          <w:sz w:val="28"/>
          <w:szCs w:val="28"/>
        </w:rPr>
        <w:t xml:space="preserve"> [2]</w:t>
      </w:r>
      <w:r w:rsidR="00BB5F2E" w:rsidRPr="006D7E57">
        <w:rPr>
          <w:sz w:val="28"/>
          <w:szCs w:val="28"/>
        </w:rPr>
        <w:t>.</w:t>
      </w:r>
    </w:p>
    <w:p w14:paraId="095DB2E6" w14:textId="2771BBA0" w:rsidR="00FC0ADB" w:rsidRPr="006D7E57" w:rsidRDefault="00B10D04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t xml:space="preserve">Работа </w:t>
      </w:r>
      <w:r w:rsidR="004246E6">
        <w:rPr>
          <w:sz w:val="28"/>
          <w:szCs w:val="28"/>
        </w:rPr>
        <w:t xml:space="preserve">А.Н. </w:t>
      </w:r>
      <w:proofErr w:type="spellStart"/>
      <w:r w:rsidR="004246E6">
        <w:rPr>
          <w:sz w:val="28"/>
          <w:szCs w:val="28"/>
        </w:rPr>
        <w:t>Цеда</w:t>
      </w:r>
      <w:proofErr w:type="spellEnd"/>
      <w:r w:rsidR="004246E6">
        <w:rPr>
          <w:sz w:val="28"/>
          <w:szCs w:val="28"/>
        </w:rPr>
        <w:t xml:space="preserve"> с соавторами</w:t>
      </w:r>
      <w:r w:rsidRPr="006D7E57">
        <w:rPr>
          <w:sz w:val="28"/>
          <w:szCs w:val="28"/>
        </w:rPr>
        <w:t xml:space="preserve"> посвящена ретроспективному анализу</w:t>
      </w:r>
      <w:r w:rsidR="00106FB2" w:rsidRPr="006D7E57">
        <w:rPr>
          <w:sz w:val="28"/>
          <w:szCs w:val="28"/>
        </w:rPr>
        <w:t xml:space="preserve"> </w:t>
      </w:r>
      <w:r w:rsidR="0072616B" w:rsidRPr="006D7E57">
        <w:rPr>
          <w:sz w:val="28"/>
          <w:szCs w:val="28"/>
        </w:rPr>
        <w:t>среднесрочных результатов</w:t>
      </w:r>
      <w:r w:rsidR="008942AF" w:rsidRPr="006D7E57">
        <w:rPr>
          <w:sz w:val="28"/>
          <w:szCs w:val="28"/>
        </w:rPr>
        <w:t xml:space="preserve"> тотальной артропластики у пациентов, находящихся на гемодиализе</w:t>
      </w:r>
      <w:r w:rsidR="00FA078F" w:rsidRPr="006D7E57">
        <w:rPr>
          <w:sz w:val="28"/>
          <w:szCs w:val="28"/>
        </w:rPr>
        <w:t>. Хроническую почечную недостаточность</w:t>
      </w:r>
      <w:r w:rsidR="00076E9D">
        <w:rPr>
          <w:sz w:val="28"/>
          <w:szCs w:val="28"/>
        </w:rPr>
        <w:t xml:space="preserve"> (ХПН)</w:t>
      </w:r>
      <w:r w:rsidR="00FA078F" w:rsidRPr="006D7E57">
        <w:rPr>
          <w:sz w:val="28"/>
          <w:szCs w:val="28"/>
        </w:rPr>
        <w:t xml:space="preserve"> традиционно относят к </w:t>
      </w:r>
      <w:r w:rsidR="003F422D" w:rsidRPr="006D7E57">
        <w:rPr>
          <w:sz w:val="28"/>
          <w:szCs w:val="28"/>
        </w:rPr>
        <w:t xml:space="preserve">важным факторам </w:t>
      </w:r>
      <w:proofErr w:type="spellStart"/>
      <w:r w:rsidR="003F422D" w:rsidRPr="006D7E57">
        <w:rPr>
          <w:sz w:val="28"/>
          <w:szCs w:val="28"/>
        </w:rPr>
        <w:t>коморбидности</w:t>
      </w:r>
      <w:proofErr w:type="spellEnd"/>
      <w:r w:rsidR="003F422D" w:rsidRPr="006D7E57">
        <w:rPr>
          <w:sz w:val="28"/>
          <w:szCs w:val="28"/>
        </w:rPr>
        <w:t xml:space="preserve">, </w:t>
      </w:r>
      <w:r w:rsidR="001C43D2" w:rsidRPr="006D7E57">
        <w:rPr>
          <w:sz w:val="28"/>
          <w:szCs w:val="28"/>
        </w:rPr>
        <w:t>увеличивающи</w:t>
      </w:r>
      <w:r w:rsidR="001D27FF">
        <w:rPr>
          <w:sz w:val="28"/>
          <w:szCs w:val="28"/>
        </w:rPr>
        <w:t>м</w:t>
      </w:r>
      <w:r w:rsidR="001C43D2" w:rsidRPr="006D7E57">
        <w:rPr>
          <w:sz w:val="28"/>
          <w:szCs w:val="28"/>
        </w:rPr>
        <w:t xml:space="preserve"> вероятность</w:t>
      </w:r>
      <w:r w:rsidR="00515243">
        <w:rPr>
          <w:sz w:val="28"/>
          <w:szCs w:val="28"/>
        </w:rPr>
        <w:t xml:space="preserve"> как</w:t>
      </w:r>
      <w:r w:rsidR="001C43D2" w:rsidRPr="006D7E57">
        <w:rPr>
          <w:sz w:val="28"/>
          <w:szCs w:val="28"/>
        </w:rPr>
        <w:t xml:space="preserve"> неблагоприятных исходов</w:t>
      </w:r>
      <w:r w:rsidR="00124EC8" w:rsidRPr="006D7E57">
        <w:rPr>
          <w:sz w:val="28"/>
          <w:szCs w:val="28"/>
        </w:rPr>
        <w:t xml:space="preserve"> </w:t>
      </w:r>
      <w:proofErr w:type="spellStart"/>
      <w:r w:rsidR="00B25184" w:rsidRPr="006D7E57">
        <w:rPr>
          <w:sz w:val="28"/>
          <w:szCs w:val="28"/>
        </w:rPr>
        <w:t>эндопротезирования</w:t>
      </w:r>
      <w:proofErr w:type="spellEnd"/>
      <w:r w:rsidR="00515243">
        <w:rPr>
          <w:sz w:val="28"/>
          <w:szCs w:val="28"/>
        </w:rPr>
        <w:t>, так</w:t>
      </w:r>
      <w:r w:rsidR="00A70466">
        <w:rPr>
          <w:sz w:val="28"/>
          <w:szCs w:val="28"/>
        </w:rPr>
        <w:t xml:space="preserve"> </w:t>
      </w:r>
      <w:r w:rsidR="00541BE3">
        <w:rPr>
          <w:sz w:val="28"/>
          <w:szCs w:val="28"/>
        </w:rPr>
        <w:t xml:space="preserve">значимого </w:t>
      </w:r>
      <w:r w:rsidR="00A70466">
        <w:rPr>
          <w:sz w:val="28"/>
          <w:szCs w:val="28"/>
        </w:rPr>
        <w:t xml:space="preserve">сокращения продолжительности жизни после замены сустава на </w:t>
      </w:r>
      <w:proofErr w:type="gramStart"/>
      <w:r w:rsidR="00A70466">
        <w:rPr>
          <w:sz w:val="28"/>
          <w:szCs w:val="28"/>
        </w:rPr>
        <w:t>искусственный</w:t>
      </w:r>
      <w:proofErr w:type="gramEnd"/>
      <w:r w:rsidR="003E2DA1">
        <w:rPr>
          <w:sz w:val="28"/>
          <w:szCs w:val="28"/>
        </w:rPr>
        <w:t xml:space="preserve"> </w:t>
      </w:r>
      <w:r w:rsidR="003E2DA1" w:rsidRPr="001D27FF">
        <w:rPr>
          <w:sz w:val="28"/>
          <w:szCs w:val="28"/>
        </w:rPr>
        <w:t>[3]</w:t>
      </w:r>
      <w:r w:rsidR="00B25184" w:rsidRPr="006D7E57">
        <w:rPr>
          <w:sz w:val="28"/>
          <w:szCs w:val="28"/>
        </w:rPr>
        <w:t xml:space="preserve">. </w:t>
      </w:r>
      <w:r w:rsidR="004043EF" w:rsidRPr="006D7E57">
        <w:rPr>
          <w:sz w:val="28"/>
          <w:szCs w:val="28"/>
        </w:rPr>
        <w:t>Пациенты данной</w:t>
      </w:r>
      <w:r w:rsidR="00B6755B" w:rsidRPr="006D7E57">
        <w:rPr>
          <w:sz w:val="28"/>
          <w:szCs w:val="28"/>
        </w:rPr>
        <w:t xml:space="preserve"> </w:t>
      </w:r>
      <w:r w:rsidR="004043EF" w:rsidRPr="006D7E57">
        <w:rPr>
          <w:sz w:val="28"/>
          <w:szCs w:val="28"/>
        </w:rPr>
        <w:t xml:space="preserve">категории требуют </w:t>
      </w:r>
      <w:r w:rsidR="000312E7" w:rsidRPr="006D7E57">
        <w:rPr>
          <w:sz w:val="28"/>
          <w:szCs w:val="28"/>
        </w:rPr>
        <w:t>специальной предоперационной подготовки</w:t>
      </w:r>
      <w:r w:rsidR="00A06D59" w:rsidRPr="006D7E57">
        <w:rPr>
          <w:sz w:val="28"/>
          <w:szCs w:val="28"/>
        </w:rPr>
        <w:t xml:space="preserve"> и более длительного нахождения в стационаре после операции для коррекции </w:t>
      </w:r>
      <w:r w:rsidR="00085B7D" w:rsidRPr="006D7E57">
        <w:rPr>
          <w:sz w:val="28"/>
          <w:szCs w:val="28"/>
        </w:rPr>
        <w:t xml:space="preserve">как ранее </w:t>
      </w:r>
      <w:r w:rsidR="00A06D59" w:rsidRPr="006D7E57">
        <w:rPr>
          <w:sz w:val="28"/>
          <w:szCs w:val="28"/>
        </w:rPr>
        <w:t>имеющихся</w:t>
      </w:r>
      <w:r w:rsidR="00085B7D" w:rsidRPr="006D7E57">
        <w:rPr>
          <w:sz w:val="28"/>
          <w:szCs w:val="28"/>
        </w:rPr>
        <w:t>, так</w:t>
      </w:r>
      <w:r w:rsidR="009779B7" w:rsidRPr="006D7E57">
        <w:rPr>
          <w:sz w:val="28"/>
          <w:szCs w:val="28"/>
        </w:rPr>
        <w:t xml:space="preserve"> и </w:t>
      </w:r>
      <w:r w:rsidR="00800CE9" w:rsidRPr="006D7E57">
        <w:rPr>
          <w:sz w:val="28"/>
          <w:szCs w:val="28"/>
        </w:rPr>
        <w:t xml:space="preserve">вновь </w:t>
      </w:r>
      <w:r w:rsidR="009779B7" w:rsidRPr="006D7E57">
        <w:rPr>
          <w:sz w:val="28"/>
          <w:szCs w:val="28"/>
        </w:rPr>
        <w:t>возникающих</w:t>
      </w:r>
      <w:r w:rsidR="00A06D59" w:rsidRPr="006D7E57">
        <w:rPr>
          <w:sz w:val="28"/>
          <w:szCs w:val="28"/>
        </w:rPr>
        <w:t xml:space="preserve"> нарушений</w:t>
      </w:r>
      <w:r w:rsidR="00085B7D" w:rsidRPr="006D7E57">
        <w:rPr>
          <w:sz w:val="28"/>
          <w:szCs w:val="28"/>
        </w:rPr>
        <w:t xml:space="preserve"> в работе органов и систем</w:t>
      </w:r>
      <w:r w:rsidR="009779B7" w:rsidRPr="006D7E57">
        <w:rPr>
          <w:sz w:val="28"/>
          <w:szCs w:val="28"/>
        </w:rPr>
        <w:t>, что наглядно демонстрир</w:t>
      </w:r>
      <w:r w:rsidR="00E76EA9" w:rsidRPr="006D7E57">
        <w:rPr>
          <w:sz w:val="28"/>
          <w:szCs w:val="28"/>
        </w:rPr>
        <w:t>ует</w:t>
      </w:r>
      <w:r w:rsidR="009779B7" w:rsidRPr="006D7E57">
        <w:rPr>
          <w:sz w:val="28"/>
          <w:szCs w:val="28"/>
        </w:rPr>
        <w:t xml:space="preserve"> и данн</w:t>
      </w:r>
      <w:r w:rsidR="00E76EA9" w:rsidRPr="006D7E57">
        <w:rPr>
          <w:sz w:val="28"/>
          <w:szCs w:val="28"/>
        </w:rPr>
        <w:t>ая</w:t>
      </w:r>
      <w:r w:rsidR="009779B7" w:rsidRPr="006D7E57">
        <w:rPr>
          <w:sz w:val="28"/>
          <w:szCs w:val="28"/>
        </w:rPr>
        <w:t xml:space="preserve"> работ</w:t>
      </w:r>
      <w:r w:rsidR="00E76EA9" w:rsidRPr="006D7E57">
        <w:rPr>
          <w:sz w:val="28"/>
          <w:szCs w:val="28"/>
        </w:rPr>
        <w:t>а</w:t>
      </w:r>
      <w:r w:rsidR="00800CE9" w:rsidRPr="006D7E57">
        <w:rPr>
          <w:sz w:val="28"/>
          <w:szCs w:val="28"/>
        </w:rPr>
        <w:t>.</w:t>
      </w:r>
      <w:r w:rsidR="00A357E0" w:rsidRPr="006D7E57">
        <w:rPr>
          <w:sz w:val="28"/>
          <w:szCs w:val="28"/>
        </w:rPr>
        <w:t xml:space="preserve"> Кроме </w:t>
      </w:r>
      <w:r w:rsidR="003032BB" w:rsidRPr="006D7E57">
        <w:rPr>
          <w:sz w:val="28"/>
          <w:szCs w:val="28"/>
        </w:rPr>
        <w:t>специальных организационных мероприятий для обеспечения</w:t>
      </w:r>
      <w:r w:rsidR="00F70094" w:rsidRPr="006D7E57">
        <w:rPr>
          <w:sz w:val="28"/>
          <w:szCs w:val="28"/>
        </w:rPr>
        <w:t xml:space="preserve"> гемодиализа</w:t>
      </w:r>
      <w:r w:rsidR="00711D3D" w:rsidRPr="006D7E57">
        <w:rPr>
          <w:sz w:val="28"/>
          <w:szCs w:val="28"/>
        </w:rPr>
        <w:t xml:space="preserve"> в пред- и послеоперационном период</w:t>
      </w:r>
      <w:r w:rsidR="001D27FF">
        <w:rPr>
          <w:sz w:val="28"/>
          <w:szCs w:val="28"/>
        </w:rPr>
        <w:t>е</w:t>
      </w:r>
      <w:r w:rsidR="00711D3D" w:rsidRPr="006D7E57">
        <w:rPr>
          <w:sz w:val="28"/>
          <w:szCs w:val="28"/>
        </w:rPr>
        <w:t>, необходима индивидуальная коррекция</w:t>
      </w:r>
      <w:r w:rsidR="0077751F" w:rsidRPr="006D7E57">
        <w:rPr>
          <w:sz w:val="28"/>
          <w:szCs w:val="28"/>
        </w:rPr>
        <w:t xml:space="preserve"> практически всей</w:t>
      </w:r>
      <w:r w:rsidR="00711D3D" w:rsidRPr="006D7E57">
        <w:rPr>
          <w:sz w:val="28"/>
          <w:szCs w:val="28"/>
        </w:rPr>
        <w:t xml:space="preserve"> </w:t>
      </w:r>
      <w:r w:rsidR="009A682C" w:rsidRPr="006D7E57">
        <w:rPr>
          <w:sz w:val="28"/>
          <w:szCs w:val="28"/>
        </w:rPr>
        <w:t xml:space="preserve">фармакотерапии: </w:t>
      </w:r>
      <w:proofErr w:type="spellStart"/>
      <w:r w:rsidR="009A682C" w:rsidRPr="006D7E57">
        <w:rPr>
          <w:sz w:val="28"/>
          <w:szCs w:val="28"/>
        </w:rPr>
        <w:t>периоперационной</w:t>
      </w:r>
      <w:proofErr w:type="spellEnd"/>
      <w:r w:rsidR="009A682C" w:rsidRPr="006D7E57">
        <w:rPr>
          <w:sz w:val="28"/>
          <w:szCs w:val="28"/>
        </w:rPr>
        <w:t xml:space="preserve"> анальгезии, антибиотико</w:t>
      </w:r>
      <w:r w:rsidR="000F4733" w:rsidRPr="006D7E57">
        <w:rPr>
          <w:sz w:val="28"/>
          <w:szCs w:val="28"/>
        </w:rPr>
        <w:t>-</w:t>
      </w:r>
      <w:r w:rsidR="009A682C" w:rsidRPr="006D7E57">
        <w:rPr>
          <w:sz w:val="28"/>
          <w:szCs w:val="28"/>
        </w:rPr>
        <w:t xml:space="preserve"> и </w:t>
      </w:r>
      <w:proofErr w:type="spellStart"/>
      <w:r w:rsidR="009B3EAE" w:rsidRPr="006D7E57">
        <w:rPr>
          <w:sz w:val="28"/>
          <w:szCs w:val="28"/>
        </w:rPr>
        <w:t>тромбо</w:t>
      </w:r>
      <w:r w:rsidR="000F4733" w:rsidRPr="006D7E57">
        <w:rPr>
          <w:sz w:val="28"/>
          <w:szCs w:val="28"/>
        </w:rPr>
        <w:t>профилактики</w:t>
      </w:r>
      <w:proofErr w:type="spellEnd"/>
      <w:r w:rsidR="007F051C" w:rsidRPr="006D7E57">
        <w:rPr>
          <w:sz w:val="28"/>
          <w:szCs w:val="28"/>
        </w:rPr>
        <w:t>, что</w:t>
      </w:r>
      <w:r w:rsidR="003E2DA1">
        <w:rPr>
          <w:sz w:val="28"/>
          <w:szCs w:val="28"/>
        </w:rPr>
        <w:t>,</w:t>
      </w:r>
      <w:r w:rsidR="007F051C" w:rsidRPr="006D7E57">
        <w:rPr>
          <w:sz w:val="28"/>
          <w:szCs w:val="28"/>
        </w:rPr>
        <w:t xml:space="preserve"> </w:t>
      </w:r>
      <w:r w:rsidR="000D221F" w:rsidRPr="006D7E57">
        <w:rPr>
          <w:sz w:val="28"/>
          <w:szCs w:val="28"/>
        </w:rPr>
        <w:t>несомненно</w:t>
      </w:r>
      <w:r w:rsidR="003E2DA1">
        <w:rPr>
          <w:sz w:val="28"/>
          <w:szCs w:val="28"/>
        </w:rPr>
        <w:t>,</w:t>
      </w:r>
      <w:r w:rsidR="000D221F" w:rsidRPr="006D7E57">
        <w:rPr>
          <w:sz w:val="28"/>
          <w:szCs w:val="28"/>
        </w:rPr>
        <w:t xml:space="preserve"> выделяет этих </w:t>
      </w:r>
      <w:r w:rsidR="00214CC3" w:rsidRPr="006D7E57">
        <w:rPr>
          <w:sz w:val="28"/>
          <w:szCs w:val="28"/>
        </w:rPr>
        <w:t>больных</w:t>
      </w:r>
      <w:r w:rsidR="00B11E2E" w:rsidRPr="006D7E57">
        <w:rPr>
          <w:sz w:val="28"/>
          <w:szCs w:val="28"/>
        </w:rPr>
        <w:t xml:space="preserve"> среди </w:t>
      </w:r>
      <w:r w:rsidR="00214CC3" w:rsidRPr="006D7E57">
        <w:rPr>
          <w:sz w:val="28"/>
          <w:szCs w:val="28"/>
        </w:rPr>
        <w:t>многих других</w:t>
      </w:r>
      <w:r w:rsidR="00B11E2E" w:rsidRPr="006D7E57">
        <w:rPr>
          <w:sz w:val="28"/>
          <w:szCs w:val="28"/>
        </w:rPr>
        <w:t xml:space="preserve"> с </w:t>
      </w:r>
      <w:r w:rsidR="00214CC3" w:rsidRPr="006D7E57">
        <w:rPr>
          <w:sz w:val="28"/>
          <w:szCs w:val="28"/>
        </w:rPr>
        <w:t>тяж</w:t>
      </w:r>
      <w:r w:rsidR="003E2DA1">
        <w:rPr>
          <w:sz w:val="28"/>
          <w:szCs w:val="28"/>
        </w:rPr>
        <w:t>е</w:t>
      </w:r>
      <w:r w:rsidR="00214CC3" w:rsidRPr="006D7E57">
        <w:rPr>
          <w:sz w:val="28"/>
          <w:szCs w:val="28"/>
        </w:rPr>
        <w:t xml:space="preserve">лой </w:t>
      </w:r>
      <w:r w:rsidR="00B11E2E" w:rsidRPr="006D7E57">
        <w:rPr>
          <w:sz w:val="28"/>
          <w:szCs w:val="28"/>
        </w:rPr>
        <w:t>сопутствующей соматической патологией.</w:t>
      </w:r>
    </w:p>
    <w:p w14:paraId="7128B5A6" w14:textId="26727CB3" w:rsidR="00D87943" w:rsidRPr="006D7E57" w:rsidRDefault="00435342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lastRenderedPageBreak/>
        <w:t xml:space="preserve">К </w:t>
      </w:r>
      <w:r w:rsidR="00AC415B" w:rsidRPr="006D7E57">
        <w:rPr>
          <w:sz w:val="28"/>
          <w:szCs w:val="28"/>
        </w:rPr>
        <w:t>сложн</w:t>
      </w:r>
      <w:r w:rsidR="003272B4" w:rsidRPr="006D7E57">
        <w:rPr>
          <w:sz w:val="28"/>
          <w:szCs w:val="28"/>
        </w:rPr>
        <w:t xml:space="preserve">ым случаям первичного </w:t>
      </w:r>
      <w:r w:rsidR="00AC415B" w:rsidRPr="006D7E57">
        <w:rPr>
          <w:sz w:val="28"/>
          <w:szCs w:val="28"/>
        </w:rPr>
        <w:t>эндопротезирован</w:t>
      </w:r>
      <w:r w:rsidR="003272B4" w:rsidRPr="006D7E57">
        <w:rPr>
          <w:sz w:val="28"/>
          <w:szCs w:val="28"/>
        </w:rPr>
        <w:t>ия</w:t>
      </w:r>
      <w:r w:rsidR="00AC415B" w:rsidRPr="006D7E57">
        <w:rPr>
          <w:sz w:val="28"/>
          <w:szCs w:val="28"/>
        </w:rPr>
        <w:t xml:space="preserve"> традиционно </w:t>
      </w:r>
      <w:r w:rsidR="003272B4" w:rsidRPr="006D7E57">
        <w:rPr>
          <w:sz w:val="28"/>
          <w:szCs w:val="28"/>
        </w:rPr>
        <w:t>принято относить</w:t>
      </w:r>
      <w:r w:rsidR="00AC415B" w:rsidRPr="006D7E57">
        <w:rPr>
          <w:sz w:val="28"/>
          <w:szCs w:val="28"/>
        </w:rPr>
        <w:t xml:space="preserve"> </w:t>
      </w:r>
      <w:r w:rsidR="00003B4E" w:rsidRPr="006D7E57">
        <w:rPr>
          <w:sz w:val="28"/>
          <w:szCs w:val="28"/>
        </w:rPr>
        <w:t xml:space="preserve">те клинические ситуации, </w:t>
      </w:r>
      <w:r w:rsidR="001D27FF">
        <w:rPr>
          <w:sz w:val="28"/>
          <w:szCs w:val="28"/>
        </w:rPr>
        <w:t>в которых</w:t>
      </w:r>
      <w:r w:rsidR="00003B4E" w:rsidRPr="006D7E57">
        <w:rPr>
          <w:sz w:val="28"/>
          <w:szCs w:val="28"/>
        </w:rPr>
        <w:t xml:space="preserve"> использование</w:t>
      </w:r>
      <w:r w:rsidR="00937578" w:rsidRPr="006D7E57">
        <w:rPr>
          <w:sz w:val="28"/>
          <w:szCs w:val="28"/>
        </w:rPr>
        <w:t xml:space="preserve"> стандартной техники </w:t>
      </w:r>
      <w:r w:rsidR="0044546E" w:rsidRPr="006D7E57">
        <w:rPr>
          <w:sz w:val="28"/>
          <w:szCs w:val="28"/>
        </w:rPr>
        <w:t xml:space="preserve">и инструментов сопряжено с </w:t>
      </w:r>
      <w:r w:rsidR="007804EC" w:rsidRPr="006D7E57">
        <w:rPr>
          <w:sz w:val="28"/>
          <w:szCs w:val="28"/>
        </w:rPr>
        <w:t xml:space="preserve">повышенным </w:t>
      </w:r>
      <w:r w:rsidR="0044546E" w:rsidRPr="006D7E57">
        <w:rPr>
          <w:sz w:val="28"/>
          <w:szCs w:val="28"/>
        </w:rPr>
        <w:t>риском</w:t>
      </w:r>
      <w:r w:rsidR="007804EC" w:rsidRPr="006D7E57">
        <w:rPr>
          <w:sz w:val="28"/>
          <w:szCs w:val="28"/>
        </w:rPr>
        <w:t xml:space="preserve"> хирургических </w:t>
      </w:r>
      <w:r w:rsidR="0044546E" w:rsidRPr="006D7E57">
        <w:rPr>
          <w:sz w:val="28"/>
          <w:szCs w:val="28"/>
        </w:rPr>
        <w:t>ошибок</w:t>
      </w:r>
      <w:r w:rsidR="007804EC" w:rsidRPr="006D7E57">
        <w:rPr>
          <w:sz w:val="28"/>
          <w:szCs w:val="28"/>
        </w:rPr>
        <w:t>, а</w:t>
      </w:r>
      <w:r w:rsidR="0044546E" w:rsidRPr="006D7E57">
        <w:rPr>
          <w:sz w:val="28"/>
          <w:szCs w:val="28"/>
        </w:rPr>
        <w:t xml:space="preserve"> </w:t>
      </w:r>
      <w:r w:rsidR="007273BC" w:rsidRPr="006D7E57">
        <w:rPr>
          <w:sz w:val="28"/>
          <w:szCs w:val="28"/>
        </w:rPr>
        <w:t>ревизионны</w:t>
      </w:r>
      <w:r w:rsidR="007804EC" w:rsidRPr="006D7E57">
        <w:rPr>
          <w:sz w:val="28"/>
          <w:szCs w:val="28"/>
        </w:rPr>
        <w:t>е</w:t>
      </w:r>
      <w:r w:rsidR="000C11D8" w:rsidRPr="006D7E57">
        <w:rPr>
          <w:sz w:val="28"/>
          <w:szCs w:val="28"/>
        </w:rPr>
        <w:t xml:space="preserve"> инструментальны</w:t>
      </w:r>
      <w:r w:rsidR="007804EC" w:rsidRPr="006D7E57">
        <w:rPr>
          <w:sz w:val="28"/>
          <w:szCs w:val="28"/>
        </w:rPr>
        <w:t>е</w:t>
      </w:r>
      <w:r w:rsidR="000C11D8" w:rsidRPr="006D7E57">
        <w:rPr>
          <w:sz w:val="28"/>
          <w:szCs w:val="28"/>
        </w:rPr>
        <w:t xml:space="preserve"> систем</w:t>
      </w:r>
      <w:r w:rsidR="007804EC" w:rsidRPr="006D7E57">
        <w:rPr>
          <w:sz w:val="28"/>
          <w:szCs w:val="28"/>
        </w:rPr>
        <w:t>ы</w:t>
      </w:r>
      <w:r w:rsidR="000C11D8" w:rsidRPr="006D7E57">
        <w:rPr>
          <w:sz w:val="28"/>
          <w:szCs w:val="28"/>
        </w:rPr>
        <w:t xml:space="preserve"> и</w:t>
      </w:r>
      <w:r w:rsidR="007273BC" w:rsidRPr="006D7E57">
        <w:rPr>
          <w:sz w:val="28"/>
          <w:szCs w:val="28"/>
        </w:rPr>
        <w:t xml:space="preserve"> имплантат</w:t>
      </w:r>
      <w:r w:rsidR="008D720E" w:rsidRPr="006D7E57">
        <w:rPr>
          <w:sz w:val="28"/>
          <w:szCs w:val="28"/>
        </w:rPr>
        <w:t xml:space="preserve">ы с большей степенью связанности </w:t>
      </w:r>
      <w:r w:rsidR="000C11D8" w:rsidRPr="006D7E57">
        <w:rPr>
          <w:sz w:val="28"/>
          <w:szCs w:val="28"/>
        </w:rPr>
        <w:t>необходим</w:t>
      </w:r>
      <w:r w:rsidR="008D720E" w:rsidRPr="006D7E57">
        <w:rPr>
          <w:sz w:val="28"/>
          <w:szCs w:val="28"/>
        </w:rPr>
        <w:t>ы</w:t>
      </w:r>
      <w:r w:rsidR="000C11D8" w:rsidRPr="006D7E57">
        <w:rPr>
          <w:sz w:val="28"/>
          <w:szCs w:val="28"/>
        </w:rPr>
        <w:t xml:space="preserve"> </w:t>
      </w:r>
      <w:r w:rsidR="007273BC" w:rsidRPr="006D7E57">
        <w:rPr>
          <w:sz w:val="28"/>
          <w:szCs w:val="28"/>
        </w:rPr>
        <w:t xml:space="preserve">для </w:t>
      </w:r>
      <w:r w:rsidR="009A5A54" w:rsidRPr="006D7E57">
        <w:rPr>
          <w:sz w:val="28"/>
          <w:szCs w:val="28"/>
        </w:rPr>
        <w:t>того</w:t>
      </w:r>
      <w:r w:rsidR="001D27FF">
        <w:rPr>
          <w:sz w:val="28"/>
          <w:szCs w:val="28"/>
        </w:rPr>
        <w:t>,</w:t>
      </w:r>
      <w:r w:rsidR="009A5A54" w:rsidRPr="006D7E57">
        <w:rPr>
          <w:sz w:val="28"/>
          <w:szCs w:val="28"/>
        </w:rPr>
        <w:t xml:space="preserve"> чтобы не компрометировать</w:t>
      </w:r>
      <w:r w:rsidR="003E2DA1">
        <w:rPr>
          <w:sz w:val="28"/>
          <w:szCs w:val="28"/>
        </w:rPr>
        <w:t>:</w:t>
      </w:r>
    </w:p>
    <w:p w14:paraId="325A417E" w14:textId="47BFF940" w:rsidR="00D87943" w:rsidRPr="006D7E57" w:rsidRDefault="00D87943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t>- правильную ориентацию</w:t>
      </w:r>
      <w:r w:rsidR="00106115" w:rsidRPr="006D7E57">
        <w:rPr>
          <w:sz w:val="28"/>
          <w:szCs w:val="28"/>
        </w:rPr>
        <w:t xml:space="preserve"> компонентов</w:t>
      </w:r>
      <w:r w:rsidRPr="006D7E57">
        <w:rPr>
          <w:sz w:val="28"/>
          <w:szCs w:val="28"/>
        </w:rPr>
        <w:t xml:space="preserve"> </w:t>
      </w:r>
      <w:r w:rsidR="008D720E" w:rsidRPr="006D7E57">
        <w:rPr>
          <w:sz w:val="28"/>
          <w:szCs w:val="28"/>
        </w:rPr>
        <w:t>эндопротеза</w:t>
      </w:r>
      <w:r w:rsidRPr="006D7E57">
        <w:rPr>
          <w:sz w:val="28"/>
          <w:szCs w:val="28"/>
        </w:rPr>
        <w:t>;</w:t>
      </w:r>
    </w:p>
    <w:p w14:paraId="53999493" w14:textId="3146FFE2" w:rsidR="00435342" w:rsidRPr="006D7E57" w:rsidRDefault="00D87943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t>-</w:t>
      </w:r>
      <w:r w:rsidR="000C11D8" w:rsidRPr="006D7E57">
        <w:rPr>
          <w:sz w:val="28"/>
          <w:szCs w:val="28"/>
        </w:rPr>
        <w:t xml:space="preserve"> </w:t>
      </w:r>
      <w:r w:rsidR="009A5A54" w:rsidRPr="006D7E57">
        <w:rPr>
          <w:sz w:val="28"/>
          <w:szCs w:val="28"/>
        </w:rPr>
        <w:t>над</w:t>
      </w:r>
      <w:r w:rsidR="003E2DA1">
        <w:rPr>
          <w:sz w:val="28"/>
          <w:szCs w:val="28"/>
        </w:rPr>
        <w:t>е</w:t>
      </w:r>
      <w:r w:rsidR="009A5A54" w:rsidRPr="006D7E57">
        <w:rPr>
          <w:sz w:val="28"/>
          <w:szCs w:val="28"/>
        </w:rPr>
        <w:t>жность</w:t>
      </w:r>
      <w:r w:rsidR="00106115" w:rsidRPr="006D7E57">
        <w:rPr>
          <w:sz w:val="28"/>
          <w:szCs w:val="28"/>
        </w:rPr>
        <w:t xml:space="preserve"> их</w:t>
      </w:r>
      <w:r w:rsidR="009A5A54" w:rsidRPr="006D7E57">
        <w:rPr>
          <w:sz w:val="28"/>
          <w:szCs w:val="28"/>
        </w:rPr>
        <w:t xml:space="preserve"> фиксаци</w:t>
      </w:r>
      <w:r w:rsidRPr="006D7E57">
        <w:rPr>
          <w:sz w:val="28"/>
          <w:szCs w:val="28"/>
        </w:rPr>
        <w:t>и;</w:t>
      </w:r>
    </w:p>
    <w:p w14:paraId="3A9D55DF" w14:textId="77777777" w:rsidR="004C75A3" w:rsidRPr="006D7E57" w:rsidRDefault="00D87943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t xml:space="preserve">- </w:t>
      </w:r>
      <w:r w:rsidR="00051FAA" w:rsidRPr="006D7E57">
        <w:rPr>
          <w:sz w:val="28"/>
          <w:szCs w:val="28"/>
        </w:rPr>
        <w:t xml:space="preserve">итоговую </w:t>
      </w:r>
      <w:r w:rsidRPr="006D7E57">
        <w:rPr>
          <w:sz w:val="28"/>
          <w:szCs w:val="28"/>
        </w:rPr>
        <w:t xml:space="preserve">стабильность </w:t>
      </w:r>
      <w:r w:rsidR="00287161" w:rsidRPr="006D7E57">
        <w:rPr>
          <w:sz w:val="28"/>
          <w:szCs w:val="28"/>
        </w:rPr>
        <w:t>коленного сустава</w:t>
      </w:r>
      <w:r w:rsidR="004C75A3" w:rsidRPr="006D7E57">
        <w:rPr>
          <w:sz w:val="28"/>
          <w:szCs w:val="28"/>
        </w:rPr>
        <w:t>;</w:t>
      </w:r>
    </w:p>
    <w:p w14:paraId="3154B5CC" w14:textId="550F386C" w:rsidR="00D87943" w:rsidRPr="006D7E57" w:rsidRDefault="004C75A3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t xml:space="preserve">- </w:t>
      </w:r>
      <w:r w:rsidR="00BD332B">
        <w:rPr>
          <w:sz w:val="28"/>
          <w:szCs w:val="28"/>
        </w:rPr>
        <w:t xml:space="preserve">полноценность </w:t>
      </w:r>
      <w:r w:rsidRPr="006D7E57">
        <w:rPr>
          <w:sz w:val="28"/>
          <w:szCs w:val="28"/>
        </w:rPr>
        <w:t>восстановлени</w:t>
      </w:r>
      <w:r w:rsidR="00BD332B">
        <w:rPr>
          <w:sz w:val="28"/>
          <w:szCs w:val="28"/>
        </w:rPr>
        <w:t>я</w:t>
      </w:r>
      <w:r w:rsidRPr="006D7E57">
        <w:rPr>
          <w:sz w:val="28"/>
          <w:szCs w:val="28"/>
        </w:rPr>
        <w:t xml:space="preserve"> движений</w:t>
      </w:r>
      <w:r w:rsidR="00106115" w:rsidRPr="006D7E57">
        <w:rPr>
          <w:sz w:val="28"/>
          <w:szCs w:val="28"/>
        </w:rPr>
        <w:t xml:space="preserve"> </w:t>
      </w:r>
      <w:r w:rsidR="003E2DA1" w:rsidRPr="001D27FF">
        <w:rPr>
          <w:sz w:val="28"/>
          <w:szCs w:val="28"/>
        </w:rPr>
        <w:t>[4]</w:t>
      </w:r>
      <w:r w:rsidR="00287161" w:rsidRPr="006D7E57">
        <w:rPr>
          <w:sz w:val="28"/>
          <w:szCs w:val="28"/>
        </w:rPr>
        <w:t>.</w:t>
      </w:r>
    </w:p>
    <w:p w14:paraId="6E0B2689" w14:textId="60075896" w:rsidR="008324D1" w:rsidRPr="001C6687" w:rsidRDefault="008324D1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t xml:space="preserve">Наиболее часто </w:t>
      </w:r>
      <w:r w:rsidR="004546CF" w:rsidRPr="006D7E57">
        <w:rPr>
          <w:sz w:val="28"/>
          <w:szCs w:val="28"/>
        </w:rPr>
        <w:t>необходимость в этом</w:t>
      </w:r>
      <w:r w:rsidRPr="006D7E57">
        <w:rPr>
          <w:sz w:val="28"/>
          <w:szCs w:val="28"/>
        </w:rPr>
        <w:t xml:space="preserve"> возника</w:t>
      </w:r>
      <w:r w:rsidR="004546CF" w:rsidRPr="006D7E57">
        <w:rPr>
          <w:sz w:val="28"/>
          <w:szCs w:val="28"/>
        </w:rPr>
        <w:t>ет</w:t>
      </w:r>
      <w:r w:rsidRPr="006D7E57">
        <w:rPr>
          <w:sz w:val="28"/>
          <w:szCs w:val="28"/>
        </w:rPr>
        <w:t xml:space="preserve"> у пациентов с </w:t>
      </w:r>
      <w:r w:rsidR="00DE63F6" w:rsidRPr="006D7E57">
        <w:rPr>
          <w:sz w:val="28"/>
          <w:szCs w:val="28"/>
        </w:rPr>
        <w:t>протяж</w:t>
      </w:r>
      <w:r w:rsidR="003E2DA1">
        <w:rPr>
          <w:sz w:val="28"/>
          <w:szCs w:val="28"/>
        </w:rPr>
        <w:t>е</w:t>
      </w:r>
      <w:r w:rsidR="00DE63F6" w:rsidRPr="006D7E57">
        <w:rPr>
          <w:sz w:val="28"/>
          <w:szCs w:val="28"/>
        </w:rPr>
        <w:t>нными</w:t>
      </w:r>
      <w:r w:rsidRPr="006D7E57">
        <w:rPr>
          <w:sz w:val="28"/>
          <w:szCs w:val="28"/>
        </w:rPr>
        <w:t xml:space="preserve"> костными дефектами, </w:t>
      </w:r>
      <w:r w:rsidR="004546CF" w:rsidRPr="006D7E57">
        <w:rPr>
          <w:sz w:val="28"/>
          <w:szCs w:val="28"/>
        </w:rPr>
        <w:t>фиксированными деформациями</w:t>
      </w:r>
      <w:r w:rsidR="00CC3225" w:rsidRPr="001C6687">
        <w:rPr>
          <w:sz w:val="28"/>
          <w:szCs w:val="28"/>
        </w:rPr>
        <w:t>,</w:t>
      </w:r>
      <w:r w:rsidR="00DE63F6" w:rsidRPr="006D7E57">
        <w:rPr>
          <w:sz w:val="28"/>
          <w:szCs w:val="28"/>
        </w:rPr>
        <w:t xml:space="preserve"> тяж</w:t>
      </w:r>
      <w:r w:rsidR="003E2DA1">
        <w:rPr>
          <w:sz w:val="28"/>
          <w:szCs w:val="28"/>
        </w:rPr>
        <w:t>е</w:t>
      </w:r>
      <w:r w:rsidR="00DE63F6" w:rsidRPr="006D7E57">
        <w:rPr>
          <w:sz w:val="28"/>
          <w:szCs w:val="28"/>
        </w:rPr>
        <w:t>лыми</w:t>
      </w:r>
      <w:r w:rsidR="004546CF" w:rsidRPr="006D7E57">
        <w:rPr>
          <w:sz w:val="28"/>
          <w:szCs w:val="28"/>
        </w:rPr>
        <w:t xml:space="preserve"> контрактурами</w:t>
      </w:r>
      <w:r w:rsidR="00DE63F6" w:rsidRPr="001C6687">
        <w:rPr>
          <w:sz w:val="28"/>
          <w:szCs w:val="28"/>
        </w:rPr>
        <w:t xml:space="preserve"> </w:t>
      </w:r>
      <w:r w:rsidR="00DE63F6" w:rsidRPr="006D7E57">
        <w:rPr>
          <w:sz w:val="28"/>
          <w:szCs w:val="28"/>
        </w:rPr>
        <w:t>и анкилозами</w:t>
      </w:r>
      <w:r w:rsidR="004546CF" w:rsidRPr="006D7E57">
        <w:rPr>
          <w:sz w:val="28"/>
          <w:szCs w:val="28"/>
        </w:rPr>
        <w:t xml:space="preserve">, </w:t>
      </w:r>
      <w:r w:rsidR="001C6687">
        <w:rPr>
          <w:sz w:val="28"/>
          <w:szCs w:val="28"/>
        </w:rPr>
        <w:t xml:space="preserve">несостоятельностью </w:t>
      </w:r>
      <w:proofErr w:type="spellStart"/>
      <w:r w:rsidR="001C6687">
        <w:rPr>
          <w:sz w:val="28"/>
          <w:szCs w:val="28"/>
        </w:rPr>
        <w:t>мягко</w:t>
      </w:r>
      <w:r w:rsidR="00CE47F0" w:rsidRPr="006D7E57">
        <w:rPr>
          <w:sz w:val="28"/>
          <w:szCs w:val="28"/>
        </w:rPr>
        <w:t>тканных</w:t>
      </w:r>
      <w:proofErr w:type="spellEnd"/>
      <w:r w:rsidR="00CE47F0" w:rsidRPr="006D7E57">
        <w:rPr>
          <w:sz w:val="28"/>
          <w:szCs w:val="28"/>
        </w:rPr>
        <w:t xml:space="preserve"> стабилизаторов, </w:t>
      </w:r>
      <w:proofErr w:type="gramStart"/>
      <w:r w:rsidR="002C0BE1" w:rsidRPr="006D7E57">
        <w:rPr>
          <w:sz w:val="28"/>
          <w:szCs w:val="28"/>
        </w:rPr>
        <w:t>локальным</w:t>
      </w:r>
      <w:proofErr w:type="gramEnd"/>
      <w:r w:rsidR="002C0BE1" w:rsidRPr="006D7E57">
        <w:rPr>
          <w:sz w:val="28"/>
          <w:szCs w:val="28"/>
        </w:rPr>
        <w:t xml:space="preserve"> остеопорозом</w:t>
      </w:r>
      <w:r w:rsidR="008C6774" w:rsidRPr="006D7E57">
        <w:rPr>
          <w:sz w:val="28"/>
          <w:szCs w:val="28"/>
        </w:rPr>
        <w:t>, неправильно сросшимися и несросшимися внутри- и внесуставными переломами</w:t>
      </w:r>
      <w:r w:rsidR="00C81287" w:rsidRPr="006D7E57">
        <w:rPr>
          <w:sz w:val="28"/>
          <w:szCs w:val="28"/>
        </w:rPr>
        <w:t>, повреждениями разгибательного аппарата</w:t>
      </w:r>
      <w:r w:rsidR="003E2DA1">
        <w:rPr>
          <w:sz w:val="28"/>
          <w:szCs w:val="28"/>
        </w:rPr>
        <w:t xml:space="preserve"> </w:t>
      </w:r>
      <w:r w:rsidR="003E2DA1" w:rsidRPr="001D27FF">
        <w:rPr>
          <w:sz w:val="28"/>
          <w:szCs w:val="28"/>
        </w:rPr>
        <w:t>[5]</w:t>
      </w:r>
      <w:r w:rsidR="00C81287" w:rsidRPr="006D7E57">
        <w:rPr>
          <w:sz w:val="28"/>
          <w:szCs w:val="28"/>
        </w:rPr>
        <w:t xml:space="preserve">. </w:t>
      </w:r>
    </w:p>
    <w:p w14:paraId="37070079" w14:textId="5137B2B4" w:rsidR="00A12133" w:rsidRPr="006D7E57" w:rsidRDefault="000E51EF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t>Принципы</w:t>
      </w:r>
      <w:r w:rsidR="00C81287" w:rsidRPr="006D7E57">
        <w:rPr>
          <w:sz w:val="28"/>
          <w:szCs w:val="28"/>
        </w:rPr>
        <w:t xml:space="preserve"> </w:t>
      </w:r>
      <w:r w:rsidR="007C3E54" w:rsidRPr="006D7E57">
        <w:rPr>
          <w:sz w:val="28"/>
          <w:szCs w:val="28"/>
        </w:rPr>
        <w:t xml:space="preserve">хирургической </w:t>
      </w:r>
      <w:r w:rsidR="00C81287" w:rsidRPr="006D7E57">
        <w:rPr>
          <w:sz w:val="28"/>
          <w:szCs w:val="28"/>
        </w:rPr>
        <w:t xml:space="preserve">коррекции </w:t>
      </w:r>
      <w:r w:rsidRPr="006D7E57">
        <w:rPr>
          <w:sz w:val="28"/>
          <w:szCs w:val="28"/>
        </w:rPr>
        <w:t>описанных</w:t>
      </w:r>
      <w:r w:rsidR="004C30F4" w:rsidRPr="006D7E57">
        <w:rPr>
          <w:sz w:val="28"/>
          <w:szCs w:val="28"/>
        </w:rPr>
        <w:t xml:space="preserve"> выше</w:t>
      </w:r>
      <w:r w:rsidR="00C83967" w:rsidRPr="006D7E57">
        <w:rPr>
          <w:sz w:val="28"/>
          <w:szCs w:val="28"/>
        </w:rPr>
        <w:t xml:space="preserve"> сложных</w:t>
      </w:r>
      <w:r w:rsidRPr="006D7E57">
        <w:rPr>
          <w:sz w:val="28"/>
          <w:szCs w:val="28"/>
        </w:rPr>
        <w:t xml:space="preserve"> </w:t>
      </w:r>
      <w:r w:rsidR="007C3E54" w:rsidRPr="006D7E57">
        <w:rPr>
          <w:sz w:val="28"/>
          <w:szCs w:val="28"/>
        </w:rPr>
        <w:t>клинических ситуаций</w:t>
      </w:r>
      <w:r w:rsidR="00283B38" w:rsidRPr="006D7E57">
        <w:rPr>
          <w:sz w:val="28"/>
          <w:szCs w:val="28"/>
        </w:rPr>
        <w:t xml:space="preserve"> детально рассмотрены в</w:t>
      </w:r>
      <w:r w:rsidR="00F81B56" w:rsidRPr="006D7E57">
        <w:rPr>
          <w:sz w:val="28"/>
          <w:szCs w:val="28"/>
        </w:rPr>
        <w:t xml:space="preserve"> </w:t>
      </w:r>
      <w:r w:rsidR="00A07A1B" w:rsidRPr="006D7E57">
        <w:rPr>
          <w:sz w:val="28"/>
          <w:szCs w:val="28"/>
        </w:rPr>
        <w:t xml:space="preserve">отечественной и зарубежной </w:t>
      </w:r>
      <w:r w:rsidR="00F81B56" w:rsidRPr="006D7E57">
        <w:rPr>
          <w:sz w:val="28"/>
          <w:szCs w:val="28"/>
        </w:rPr>
        <w:t xml:space="preserve">литературе </w:t>
      </w:r>
      <w:r w:rsidR="00A07A1B" w:rsidRPr="006D7E57">
        <w:rPr>
          <w:sz w:val="28"/>
          <w:szCs w:val="28"/>
        </w:rPr>
        <w:t xml:space="preserve">и в целом </w:t>
      </w:r>
      <w:r w:rsidR="007C3E54" w:rsidRPr="006D7E57">
        <w:rPr>
          <w:sz w:val="28"/>
          <w:szCs w:val="28"/>
        </w:rPr>
        <w:t>не</w:t>
      </w:r>
      <w:r w:rsidRPr="006D7E57">
        <w:rPr>
          <w:sz w:val="28"/>
          <w:szCs w:val="28"/>
        </w:rPr>
        <w:t xml:space="preserve"> </w:t>
      </w:r>
      <w:r w:rsidR="007C3E54" w:rsidRPr="006D7E57">
        <w:rPr>
          <w:sz w:val="28"/>
          <w:szCs w:val="28"/>
        </w:rPr>
        <w:t xml:space="preserve">зависят от </w:t>
      </w:r>
      <w:r w:rsidR="00236240" w:rsidRPr="006D7E57">
        <w:rPr>
          <w:sz w:val="28"/>
          <w:szCs w:val="28"/>
        </w:rPr>
        <w:t>причин, приведших к их развитию</w:t>
      </w:r>
      <w:r w:rsidR="004246E6">
        <w:rPr>
          <w:sz w:val="28"/>
          <w:szCs w:val="28"/>
        </w:rPr>
        <w:t xml:space="preserve"> </w:t>
      </w:r>
      <w:r w:rsidR="004246E6" w:rsidRPr="001D27FF">
        <w:rPr>
          <w:sz w:val="28"/>
          <w:szCs w:val="28"/>
        </w:rPr>
        <w:t>[6, 7]</w:t>
      </w:r>
      <w:r w:rsidR="00A07A1B" w:rsidRPr="006D7E57">
        <w:rPr>
          <w:sz w:val="28"/>
          <w:szCs w:val="28"/>
        </w:rPr>
        <w:t>. Это</w:t>
      </w:r>
      <w:r w:rsidR="00F81B56" w:rsidRPr="006D7E57">
        <w:rPr>
          <w:sz w:val="28"/>
          <w:szCs w:val="28"/>
        </w:rPr>
        <w:t xml:space="preserve"> </w:t>
      </w:r>
      <w:r w:rsidR="00A07A1B" w:rsidRPr="006D7E57">
        <w:rPr>
          <w:sz w:val="28"/>
          <w:szCs w:val="28"/>
        </w:rPr>
        <w:t>п</w:t>
      </w:r>
      <w:r w:rsidR="0073341E" w:rsidRPr="006D7E57">
        <w:rPr>
          <w:sz w:val="28"/>
          <w:szCs w:val="28"/>
        </w:rPr>
        <w:t>одтверждается и результатами работы</w:t>
      </w:r>
      <w:r w:rsidR="004246E6" w:rsidRPr="001D27FF">
        <w:rPr>
          <w:sz w:val="28"/>
          <w:szCs w:val="28"/>
        </w:rPr>
        <w:t xml:space="preserve"> </w:t>
      </w:r>
      <w:r w:rsidR="004246E6">
        <w:rPr>
          <w:sz w:val="28"/>
          <w:szCs w:val="28"/>
        </w:rPr>
        <w:t xml:space="preserve">А.Н. </w:t>
      </w:r>
      <w:proofErr w:type="spellStart"/>
      <w:r w:rsidR="004246E6">
        <w:rPr>
          <w:sz w:val="28"/>
          <w:szCs w:val="28"/>
        </w:rPr>
        <w:t>Цеда</w:t>
      </w:r>
      <w:proofErr w:type="spellEnd"/>
      <w:r w:rsidR="004246E6">
        <w:rPr>
          <w:sz w:val="28"/>
          <w:szCs w:val="28"/>
        </w:rPr>
        <w:t xml:space="preserve"> с соавторами</w:t>
      </w:r>
      <w:r w:rsidR="0073341E" w:rsidRPr="006D7E57">
        <w:rPr>
          <w:sz w:val="28"/>
          <w:szCs w:val="28"/>
        </w:rPr>
        <w:t>:</w:t>
      </w:r>
      <w:r w:rsidR="0076790A" w:rsidRPr="006D7E57">
        <w:rPr>
          <w:sz w:val="28"/>
          <w:szCs w:val="28"/>
        </w:rPr>
        <w:t xml:space="preserve"> </w:t>
      </w:r>
      <w:r w:rsidR="006715D8" w:rsidRPr="006D7E57">
        <w:rPr>
          <w:sz w:val="28"/>
          <w:szCs w:val="28"/>
        </w:rPr>
        <w:t xml:space="preserve">техническая реализация классических задач </w:t>
      </w:r>
      <w:r w:rsidR="001D27FF">
        <w:rPr>
          <w:sz w:val="28"/>
          <w:szCs w:val="28"/>
        </w:rPr>
        <w:t xml:space="preserve">тотального </w:t>
      </w:r>
      <w:proofErr w:type="spellStart"/>
      <w:r w:rsidR="001D27FF">
        <w:rPr>
          <w:sz w:val="28"/>
          <w:szCs w:val="28"/>
        </w:rPr>
        <w:t>эндопротезирования</w:t>
      </w:r>
      <w:proofErr w:type="spellEnd"/>
      <w:r w:rsidR="001D27FF">
        <w:rPr>
          <w:sz w:val="28"/>
          <w:szCs w:val="28"/>
        </w:rPr>
        <w:t xml:space="preserve"> коленного сустава</w:t>
      </w:r>
      <w:r w:rsidR="00997656" w:rsidRPr="006D7E57">
        <w:rPr>
          <w:sz w:val="28"/>
          <w:szCs w:val="28"/>
        </w:rPr>
        <w:t xml:space="preserve"> </w:t>
      </w:r>
      <w:r w:rsidR="00076E9D">
        <w:rPr>
          <w:sz w:val="28"/>
          <w:szCs w:val="28"/>
        </w:rPr>
        <w:t xml:space="preserve">(ТЭКС) </w:t>
      </w:r>
      <w:r w:rsidR="00D664A2" w:rsidRPr="006D7E57">
        <w:rPr>
          <w:sz w:val="28"/>
          <w:szCs w:val="28"/>
        </w:rPr>
        <w:t xml:space="preserve">в операционной </w:t>
      </w:r>
      <w:r w:rsidR="001A655A" w:rsidRPr="006D7E57">
        <w:rPr>
          <w:sz w:val="28"/>
          <w:szCs w:val="28"/>
        </w:rPr>
        <w:t>у больных</w:t>
      </w:r>
      <w:r w:rsidR="004246E6">
        <w:rPr>
          <w:sz w:val="28"/>
          <w:szCs w:val="28"/>
        </w:rPr>
        <w:t>, находящихся на ге</w:t>
      </w:r>
      <w:r w:rsidR="001D27FF">
        <w:rPr>
          <w:sz w:val="28"/>
          <w:szCs w:val="28"/>
        </w:rPr>
        <w:t>м</w:t>
      </w:r>
      <w:r w:rsidR="004246E6">
        <w:rPr>
          <w:sz w:val="28"/>
          <w:szCs w:val="28"/>
        </w:rPr>
        <w:t>одиализе,</w:t>
      </w:r>
      <w:r w:rsidR="001A655A" w:rsidRPr="006D7E57">
        <w:rPr>
          <w:sz w:val="28"/>
          <w:szCs w:val="28"/>
        </w:rPr>
        <w:t xml:space="preserve"> </w:t>
      </w:r>
      <w:r w:rsidR="004C30F4" w:rsidRPr="006D7E57">
        <w:rPr>
          <w:sz w:val="28"/>
          <w:szCs w:val="28"/>
        </w:rPr>
        <w:t xml:space="preserve">не </w:t>
      </w:r>
      <w:r w:rsidR="00F81B56" w:rsidRPr="006D7E57">
        <w:rPr>
          <w:sz w:val="28"/>
          <w:szCs w:val="28"/>
        </w:rPr>
        <w:t>демонстрирует</w:t>
      </w:r>
      <w:r w:rsidR="004C30F4" w:rsidRPr="006D7E57">
        <w:rPr>
          <w:sz w:val="28"/>
          <w:szCs w:val="28"/>
        </w:rPr>
        <w:t xml:space="preserve"> никаких отличий</w:t>
      </w:r>
      <w:r w:rsidR="00C33387" w:rsidRPr="006D7E57">
        <w:rPr>
          <w:sz w:val="28"/>
          <w:szCs w:val="28"/>
        </w:rPr>
        <w:t xml:space="preserve">. </w:t>
      </w:r>
      <w:proofErr w:type="spellStart"/>
      <w:proofErr w:type="gramStart"/>
      <w:r w:rsidR="00BD231F" w:rsidRPr="006D7E57">
        <w:rPr>
          <w:sz w:val="28"/>
          <w:szCs w:val="28"/>
        </w:rPr>
        <w:t>Интраоперационная</w:t>
      </w:r>
      <w:proofErr w:type="spellEnd"/>
      <w:r w:rsidR="00BD231F" w:rsidRPr="006D7E57">
        <w:rPr>
          <w:sz w:val="28"/>
          <w:szCs w:val="28"/>
        </w:rPr>
        <w:t xml:space="preserve"> необходимость использования того или иного способа замещения костного</w:t>
      </w:r>
      <w:r w:rsidR="00E44A71" w:rsidRPr="006D7E57">
        <w:rPr>
          <w:sz w:val="28"/>
          <w:szCs w:val="28"/>
        </w:rPr>
        <w:t xml:space="preserve"> дефекта зависит от предпочтений хирурга и технических возможностей</w:t>
      </w:r>
      <w:r w:rsidR="00CE5EB0" w:rsidRPr="006D7E57">
        <w:rPr>
          <w:sz w:val="28"/>
          <w:szCs w:val="28"/>
        </w:rPr>
        <w:t xml:space="preserve"> медицинского учреждения</w:t>
      </w:r>
      <w:r w:rsidR="00045845" w:rsidRPr="006D7E57">
        <w:rPr>
          <w:sz w:val="28"/>
          <w:szCs w:val="28"/>
        </w:rPr>
        <w:t xml:space="preserve"> (доступности</w:t>
      </w:r>
      <w:r w:rsidR="001E543F" w:rsidRPr="006D7E57">
        <w:rPr>
          <w:sz w:val="28"/>
          <w:szCs w:val="28"/>
        </w:rPr>
        <w:t xml:space="preserve"> костных</w:t>
      </w:r>
      <w:r w:rsidR="00045845" w:rsidRPr="006D7E57">
        <w:rPr>
          <w:sz w:val="28"/>
          <w:szCs w:val="28"/>
        </w:rPr>
        <w:t xml:space="preserve"> </w:t>
      </w:r>
      <w:proofErr w:type="spellStart"/>
      <w:r w:rsidR="00045845" w:rsidRPr="006D7E57">
        <w:rPr>
          <w:sz w:val="28"/>
          <w:szCs w:val="28"/>
        </w:rPr>
        <w:t>аллотрансплантатов</w:t>
      </w:r>
      <w:proofErr w:type="spellEnd"/>
      <w:r w:rsidR="001E543F" w:rsidRPr="006D7E57">
        <w:rPr>
          <w:sz w:val="28"/>
          <w:szCs w:val="28"/>
        </w:rPr>
        <w:t xml:space="preserve">, металлических </w:t>
      </w:r>
      <w:r w:rsidR="00045845" w:rsidRPr="006D7E57">
        <w:rPr>
          <w:sz w:val="28"/>
          <w:szCs w:val="28"/>
        </w:rPr>
        <w:t>модульных блоков, втулок, конусов)</w:t>
      </w:r>
      <w:r w:rsidR="00C45FF6" w:rsidRPr="006D7E57">
        <w:rPr>
          <w:sz w:val="28"/>
          <w:szCs w:val="28"/>
        </w:rPr>
        <w:t xml:space="preserve">, </w:t>
      </w:r>
      <w:commentRangeStart w:id="0"/>
      <w:r w:rsidR="00C45FF6" w:rsidRPr="006D7E57">
        <w:rPr>
          <w:sz w:val="28"/>
          <w:szCs w:val="28"/>
        </w:rPr>
        <w:t>повышения связанности системы</w:t>
      </w:r>
      <w:proofErr w:type="gramEnd"/>
      <w:r w:rsidR="00C45FF6" w:rsidRPr="006D7E57">
        <w:rPr>
          <w:sz w:val="28"/>
          <w:szCs w:val="28"/>
        </w:rPr>
        <w:t xml:space="preserve"> – </w:t>
      </w:r>
      <w:proofErr w:type="gramStart"/>
      <w:r w:rsidR="00C45FF6" w:rsidRPr="006D7E57">
        <w:rPr>
          <w:sz w:val="28"/>
          <w:szCs w:val="28"/>
        </w:rPr>
        <w:t>от</w:t>
      </w:r>
      <w:proofErr w:type="gramEnd"/>
      <w:r w:rsidR="00C45FF6" w:rsidRPr="006D7E57">
        <w:rPr>
          <w:sz w:val="28"/>
          <w:szCs w:val="28"/>
        </w:rPr>
        <w:t xml:space="preserve"> </w:t>
      </w:r>
      <w:r w:rsidR="00CE5EB0" w:rsidRPr="006D7E57">
        <w:rPr>
          <w:sz w:val="28"/>
          <w:szCs w:val="28"/>
        </w:rPr>
        <w:t xml:space="preserve">состояния </w:t>
      </w:r>
      <w:proofErr w:type="spellStart"/>
      <w:r w:rsidR="00CE5EB0" w:rsidRPr="006D7E57">
        <w:rPr>
          <w:sz w:val="28"/>
          <w:szCs w:val="28"/>
        </w:rPr>
        <w:t>мягкот</w:t>
      </w:r>
      <w:r w:rsidR="009C4588" w:rsidRPr="006D7E57">
        <w:rPr>
          <w:sz w:val="28"/>
          <w:szCs w:val="28"/>
        </w:rPr>
        <w:t>ка</w:t>
      </w:r>
      <w:r w:rsidR="00CE5EB0" w:rsidRPr="006D7E57">
        <w:rPr>
          <w:sz w:val="28"/>
          <w:szCs w:val="28"/>
        </w:rPr>
        <w:t>нных</w:t>
      </w:r>
      <w:proofErr w:type="spellEnd"/>
      <w:r w:rsidR="00CE5EB0" w:rsidRPr="006D7E57">
        <w:rPr>
          <w:sz w:val="28"/>
          <w:szCs w:val="28"/>
        </w:rPr>
        <w:t xml:space="preserve"> стабилизаторов</w:t>
      </w:r>
      <w:commentRangeEnd w:id="0"/>
      <w:r w:rsidR="009F425D">
        <w:rPr>
          <w:rStyle w:val="a3"/>
        </w:rPr>
        <w:commentReference w:id="0"/>
      </w:r>
      <w:r w:rsidR="001E543F" w:rsidRPr="006D7E57">
        <w:rPr>
          <w:sz w:val="28"/>
          <w:szCs w:val="28"/>
        </w:rPr>
        <w:t xml:space="preserve"> и так далее. Тем не менее, </w:t>
      </w:r>
      <w:r w:rsidR="009C4588" w:rsidRPr="006D7E57">
        <w:rPr>
          <w:sz w:val="28"/>
          <w:szCs w:val="28"/>
        </w:rPr>
        <w:t xml:space="preserve">зная о </w:t>
      </w:r>
      <w:r w:rsidR="00BC30A0" w:rsidRPr="006D7E57">
        <w:rPr>
          <w:sz w:val="28"/>
          <w:szCs w:val="28"/>
        </w:rPr>
        <w:t>тяж</w:t>
      </w:r>
      <w:r w:rsidR="004246E6">
        <w:rPr>
          <w:sz w:val="28"/>
          <w:szCs w:val="28"/>
        </w:rPr>
        <w:t>е</w:t>
      </w:r>
      <w:r w:rsidR="00BC30A0" w:rsidRPr="006D7E57">
        <w:rPr>
          <w:sz w:val="28"/>
          <w:szCs w:val="28"/>
        </w:rPr>
        <w:t xml:space="preserve">лой системной патологии, которая к тому же будет </w:t>
      </w:r>
      <w:proofErr w:type="spellStart"/>
      <w:r w:rsidR="00BC30A0" w:rsidRPr="006D7E57">
        <w:rPr>
          <w:sz w:val="28"/>
          <w:szCs w:val="28"/>
        </w:rPr>
        <w:t>персис</w:t>
      </w:r>
      <w:r w:rsidR="009A447F" w:rsidRPr="006D7E57">
        <w:rPr>
          <w:sz w:val="28"/>
          <w:szCs w:val="28"/>
        </w:rPr>
        <w:t>тировать</w:t>
      </w:r>
      <w:proofErr w:type="spellEnd"/>
      <w:r w:rsidR="009A447F" w:rsidRPr="006D7E57">
        <w:rPr>
          <w:sz w:val="28"/>
          <w:szCs w:val="28"/>
        </w:rPr>
        <w:t xml:space="preserve"> и в дальнейшем</w:t>
      </w:r>
      <w:r w:rsidR="00BC30A0" w:rsidRPr="006D7E57">
        <w:rPr>
          <w:sz w:val="28"/>
          <w:szCs w:val="28"/>
        </w:rPr>
        <w:t xml:space="preserve">, </w:t>
      </w:r>
      <w:r w:rsidR="000C1541" w:rsidRPr="006D7E57">
        <w:rPr>
          <w:sz w:val="28"/>
          <w:szCs w:val="28"/>
        </w:rPr>
        <w:t xml:space="preserve">у оперирующего хирурга снижается </w:t>
      </w:r>
      <w:r w:rsidR="00BC30A0" w:rsidRPr="006D7E57">
        <w:rPr>
          <w:sz w:val="28"/>
          <w:szCs w:val="28"/>
        </w:rPr>
        <w:t>возможност</w:t>
      </w:r>
      <w:r w:rsidR="00C92C8E" w:rsidRPr="006D7E57">
        <w:rPr>
          <w:sz w:val="28"/>
          <w:szCs w:val="28"/>
        </w:rPr>
        <w:t>ь</w:t>
      </w:r>
      <w:r w:rsidR="00BC30A0" w:rsidRPr="006D7E57">
        <w:rPr>
          <w:sz w:val="28"/>
          <w:szCs w:val="28"/>
        </w:rPr>
        <w:t xml:space="preserve"> для компромиссных решений</w:t>
      </w:r>
      <w:r w:rsidR="00C92C8E" w:rsidRPr="006D7E57">
        <w:rPr>
          <w:sz w:val="28"/>
          <w:szCs w:val="28"/>
        </w:rPr>
        <w:t xml:space="preserve">, так как они могут быть </w:t>
      </w:r>
      <w:r w:rsidR="004016A1" w:rsidRPr="006D7E57">
        <w:rPr>
          <w:sz w:val="28"/>
          <w:szCs w:val="28"/>
        </w:rPr>
        <w:t>ненад</w:t>
      </w:r>
      <w:r w:rsidR="004246E6">
        <w:rPr>
          <w:sz w:val="28"/>
          <w:szCs w:val="28"/>
        </w:rPr>
        <w:t>е</w:t>
      </w:r>
      <w:r w:rsidR="004016A1" w:rsidRPr="006D7E57">
        <w:rPr>
          <w:sz w:val="28"/>
          <w:szCs w:val="28"/>
        </w:rPr>
        <w:t>жными даже в среднесрочной перспективе. Поэтому авторы справедливо подч</w:t>
      </w:r>
      <w:r w:rsidR="004246E6">
        <w:rPr>
          <w:sz w:val="28"/>
          <w:szCs w:val="28"/>
        </w:rPr>
        <w:t>е</w:t>
      </w:r>
      <w:r w:rsidR="005C7987" w:rsidRPr="006D7E57">
        <w:rPr>
          <w:sz w:val="28"/>
          <w:szCs w:val="28"/>
        </w:rPr>
        <w:t xml:space="preserve">ркивают необходимость наличия и </w:t>
      </w:r>
      <w:r w:rsidR="00747D25" w:rsidRPr="006D7E57">
        <w:rPr>
          <w:sz w:val="28"/>
          <w:szCs w:val="28"/>
        </w:rPr>
        <w:t>при малейших сомнения</w:t>
      </w:r>
      <w:r w:rsidR="004246E6">
        <w:rPr>
          <w:sz w:val="28"/>
          <w:szCs w:val="28"/>
        </w:rPr>
        <w:t>х</w:t>
      </w:r>
      <w:r w:rsidR="00747D25" w:rsidRPr="006D7E57">
        <w:rPr>
          <w:sz w:val="28"/>
          <w:szCs w:val="28"/>
        </w:rPr>
        <w:t xml:space="preserve"> применения</w:t>
      </w:r>
      <w:r w:rsidR="005C7987" w:rsidRPr="006D7E57">
        <w:rPr>
          <w:sz w:val="28"/>
          <w:szCs w:val="28"/>
        </w:rPr>
        <w:t xml:space="preserve"> </w:t>
      </w:r>
      <w:r w:rsidR="00747D25" w:rsidRPr="006D7E57">
        <w:rPr>
          <w:sz w:val="28"/>
          <w:szCs w:val="28"/>
        </w:rPr>
        <w:t xml:space="preserve">ревизионных имплантатов </w:t>
      </w:r>
      <w:r w:rsidR="004C1625" w:rsidRPr="006D7E57">
        <w:rPr>
          <w:sz w:val="28"/>
          <w:szCs w:val="28"/>
        </w:rPr>
        <w:t>в подобных клинических ситуациях.</w:t>
      </w:r>
    </w:p>
    <w:p w14:paraId="23E22FC8" w14:textId="7421AE06" w:rsidR="00E44A71" w:rsidRPr="006D7E57" w:rsidRDefault="004C1625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t>С другой стороны, если пациент</w:t>
      </w:r>
      <w:r w:rsidR="00946274" w:rsidRPr="006D7E57">
        <w:rPr>
          <w:sz w:val="28"/>
          <w:szCs w:val="28"/>
        </w:rPr>
        <w:t xml:space="preserve"> с </w:t>
      </w:r>
      <w:r w:rsidR="004246E6">
        <w:rPr>
          <w:sz w:val="28"/>
          <w:szCs w:val="28"/>
        </w:rPr>
        <w:t>хронической почечной недостаточностью, находящийся не гемодиализе,</w:t>
      </w:r>
      <w:r w:rsidR="00241992" w:rsidRPr="006D7E57">
        <w:rPr>
          <w:sz w:val="28"/>
          <w:szCs w:val="28"/>
        </w:rPr>
        <w:t xml:space="preserve"> </w:t>
      </w:r>
      <w:r w:rsidRPr="006D7E57">
        <w:rPr>
          <w:sz w:val="28"/>
          <w:szCs w:val="28"/>
        </w:rPr>
        <w:t>обратился</w:t>
      </w:r>
      <w:r w:rsidR="00241992" w:rsidRPr="006D7E57">
        <w:rPr>
          <w:sz w:val="28"/>
          <w:szCs w:val="28"/>
        </w:rPr>
        <w:t xml:space="preserve"> </w:t>
      </w:r>
      <w:r w:rsidR="00946274" w:rsidRPr="006D7E57">
        <w:rPr>
          <w:sz w:val="28"/>
          <w:szCs w:val="28"/>
        </w:rPr>
        <w:t xml:space="preserve">на </w:t>
      </w:r>
      <w:r w:rsidR="00EE1AB7" w:rsidRPr="006D7E57">
        <w:rPr>
          <w:sz w:val="28"/>
          <w:szCs w:val="28"/>
        </w:rPr>
        <w:t xml:space="preserve">менее выраженной </w:t>
      </w:r>
      <w:r w:rsidR="00946274" w:rsidRPr="006D7E57">
        <w:rPr>
          <w:sz w:val="28"/>
          <w:szCs w:val="28"/>
        </w:rPr>
        <w:t xml:space="preserve">стадии </w:t>
      </w:r>
      <w:r w:rsidR="00241992" w:rsidRPr="006D7E57">
        <w:rPr>
          <w:sz w:val="28"/>
          <w:szCs w:val="28"/>
        </w:rPr>
        <w:t xml:space="preserve">разрушения сустава, например, когда очаг </w:t>
      </w:r>
      <w:proofErr w:type="spellStart"/>
      <w:r w:rsidR="00241992" w:rsidRPr="006D7E57">
        <w:rPr>
          <w:sz w:val="28"/>
          <w:szCs w:val="28"/>
        </w:rPr>
        <w:t>остеонекроза</w:t>
      </w:r>
      <w:proofErr w:type="spellEnd"/>
      <w:r w:rsidR="00241992" w:rsidRPr="006D7E57">
        <w:rPr>
          <w:sz w:val="28"/>
          <w:szCs w:val="28"/>
        </w:rPr>
        <w:t xml:space="preserve"> локализован </w:t>
      </w:r>
      <w:r w:rsidR="00A82612" w:rsidRPr="006D7E57">
        <w:rPr>
          <w:sz w:val="28"/>
          <w:szCs w:val="28"/>
        </w:rPr>
        <w:t xml:space="preserve">только </w:t>
      </w:r>
      <w:r w:rsidR="002E7C81" w:rsidRPr="006D7E57">
        <w:rPr>
          <w:sz w:val="28"/>
          <w:szCs w:val="28"/>
        </w:rPr>
        <w:t>в медиальном мыщелке бедренной кости, деформация ещ</w:t>
      </w:r>
      <w:r w:rsidR="004246E6">
        <w:rPr>
          <w:sz w:val="28"/>
          <w:szCs w:val="28"/>
        </w:rPr>
        <w:t>е</w:t>
      </w:r>
      <w:r w:rsidR="002E7C81" w:rsidRPr="006D7E57">
        <w:rPr>
          <w:sz w:val="28"/>
          <w:szCs w:val="28"/>
        </w:rPr>
        <w:t xml:space="preserve"> не носит фиксированный характер</w:t>
      </w:r>
      <w:r w:rsidR="001F1478" w:rsidRPr="006D7E57">
        <w:rPr>
          <w:sz w:val="28"/>
          <w:szCs w:val="28"/>
        </w:rPr>
        <w:t xml:space="preserve"> и контрактура выражена умерен</w:t>
      </w:r>
      <w:r w:rsidR="009F425D">
        <w:rPr>
          <w:sz w:val="28"/>
          <w:szCs w:val="28"/>
        </w:rPr>
        <w:t>н</w:t>
      </w:r>
      <w:r w:rsidR="001F1478" w:rsidRPr="006D7E57">
        <w:rPr>
          <w:sz w:val="28"/>
          <w:szCs w:val="28"/>
        </w:rPr>
        <w:t>о</w:t>
      </w:r>
      <w:r w:rsidR="00CB7E1F" w:rsidRPr="006D7E57">
        <w:rPr>
          <w:sz w:val="28"/>
          <w:szCs w:val="28"/>
        </w:rPr>
        <w:t>, то вполне успешно вместо тотальной может быть выполнена частичная артропластика</w:t>
      </w:r>
      <w:r w:rsidR="00F44D54" w:rsidRPr="006D7E57">
        <w:rPr>
          <w:sz w:val="28"/>
          <w:szCs w:val="28"/>
        </w:rPr>
        <w:t xml:space="preserve">. Авторы </w:t>
      </w:r>
      <w:r w:rsidR="000A380C" w:rsidRPr="006D7E57">
        <w:rPr>
          <w:sz w:val="28"/>
          <w:szCs w:val="28"/>
        </w:rPr>
        <w:t>продемонстрировали, что частота</w:t>
      </w:r>
      <w:r w:rsidR="008D719C" w:rsidRPr="006D7E57">
        <w:rPr>
          <w:sz w:val="28"/>
          <w:szCs w:val="28"/>
        </w:rPr>
        <w:t xml:space="preserve"> </w:t>
      </w:r>
      <w:proofErr w:type="spellStart"/>
      <w:r w:rsidR="004246E6">
        <w:rPr>
          <w:sz w:val="28"/>
          <w:szCs w:val="28"/>
        </w:rPr>
        <w:t>перипротезной</w:t>
      </w:r>
      <w:proofErr w:type="spellEnd"/>
      <w:r w:rsidR="004246E6">
        <w:rPr>
          <w:sz w:val="28"/>
          <w:szCs w:val="28"/>
        </w:rPr>
        <w:t xml:space="preserve"> инфекции</w:t>
      </w:r>
      <w:r w:rsidR="002B7568" w:rsidRPr="001C6687">
        <w:rPr>
          <w:sz w:val="28"/>
          <w:szCs w:val="28"/>
        </w:rPr>
        <w:t xml:space="preserve"> </w:t>
      </w:r>
      <w:r w:rsidR="002B7568" w:rsidRPr="006D7E57">
        <w:rPr>
          <w:sz w:val="28"/>
          <w:szCs w:val="28"/>
        </w:rPr>
        <w:t>у больных, находящихся</w:t>
      </w:r>
      <w:r w:rsidR="00D67FE5" w:rsidRPr="006D7E57">
        <w:rPr>
          <w:sz w:val="28"/>
          <w:szCs w:val="28"/>
        </w:rPr>
        <w:t xml:space="preserve"> на гемодиализе</w:t>
      </w:r>
      <w:r w:rsidR="004246E6">
        <w:rPr>
          <w:sz w:val="28"/>
          <w:szCs w:val="28"/>
        </w:rPr>
        <w:t>,</w:t>
      </w:r>
      <w:r w:rsidR="008D719C" w:rsidRPr="006D7E57">
        <w:rPr>
          <w:sz w:val="28"/>
          <w:szCs w:val="28"/>
        </w:rPr>
        <w:t xml:space="preserve"> в 6</w:t>
      </w:r>
      <w:r w:rsidR="008D719C" w:rsidRPr="001C6687">
        <w:rPr>
          <w:sz w:val="28"/>
          <w:szCs w:val="28"/>
        </w:rPr>
        <w:t>,5</w:t>
      </w:r>
      <w:r w:rsidR="00495FDC">
        <w:rPr>
          <w:sz w:val="28"/>
          <w:szCs w:val="28"/>
        </w:rPr>
        <w:t xml:space="preserve"> раз</w:t>
      </w:r>
      <w:r w:rsidR="002B7568" w:rsidRPr="006D7E57">
        <w:rPr>
          <w:sz w:val="28"/>
          <w:szCs w:val="28"/>
        </w:rPr>
        <w:t xml:space="preserve"> выше по сравнению с контрол</w:t>
      </w:r>
      <w:r w:rsidR="00D67FE5" w:rsidRPr="006D7E57">
        <w:rPr>
          <w:sz w:val="28"/>
          <w:szCs w:val="28"/>
        </w:rPr>
        <w:t>ьной группой</w:t>
      </w:r>
      <w:r w:rsidR="00F82639">
        <w:rPr>
          <w:sz w:val="28"/>
          <w:szCs w:val="28"/>
        </w:rPr>
        <w:t xml:space="preserve">, что </w:t>
      </w:r>
      <w:r w:rsidR="006926C5">
        <w:rPr>
          <w:sz w:val="28"/>
          <w:szCs w:val="28"/>
        </w:rPr>
        <w:t>существенно превышает показатели</w:t>
      </w:r>
      <w:r w:rsidR="009F425D">
        <w:rPr>
          <w:sz w:val="28"/>
          <w:szCs w:val="28"/>
        </w:rPr>
        <w:t>, полученные</w:t>
      </w:r>
      <w:r w:rsidR="006926C5">
        <w:rPr>
          <w:sz w:val="28"/>
          <w:szCs w:val="28"/>
        </w:rPr>
        <w:t xml:space="preserve"> </w:t>
      </w:r>
      <w:r w:rsidR="00A53D53">
        <w:rPr>
          <w:sz w:val="28"/>
          <w:szCs w:val="28"/>
        </w:rPr>
        <w:t xml:space="preserve">в других </w:t>
      </w:r>
      <w:r w:rsidR="009643B8">
        <w:rPr>
          <w:sz w:val="28"/>
          <w:szCs w:val="28"/>
        </w:rPr>
        <w:t xml:space="preserve">актуальных </w:t>
      </w:r>
      <w:r w:rsidR="00A53D53">
        <w:rPr>
          <w:sz w:val="28"/>
          <w:szCs w:val="28"/>
        </w:rPr>
        <w:t>исследованиях</w:t>
      </w:r>
      <w:r w:rsidR="004246E6">
        <w:rPr>
          <w:sz w:val="28"/>
          <w:szCs w:val="28"/>
        </w:rPr>
        <w:t xml:space="preserve"> </w:t>
      </w:r>
      <w:r w:rsidR="004246E6" w:rsidRPr="001D27FF">
        <w:rPr>
          <w:sz w:val="28"/>
          <w:szCs w:val="28"/>
        </w:rPr>
        <w:t>[8]</w:t>
      </w:r>
      <w:r w:rsidR="00B67390" w:rsidRPr="006D7E57">
        <w:rPr>
          <w:sz w:val="28"/>
          <w:szCs w:val="28"/>
        </w:rPr>
        <w:t xml:space="preserve">. В данной ситуации </w:t>
      </w:r>
      <w:proofErr w:type="spellStart"/>
      <w:r w:rsidR="00B67390" w:rsidRPr="006D7E57">
        <w:rPr>
          <w:sz w:val="28"/>
          <w:szCs w:val="28"/>
        </w:rPr>
        <w:t>одномыщелковое</w:t>
      </w:r>
      <w:proofErr w:type="spellEnd"/>
      <w:r w:rsidR="00B67390" w:rsidRPr="006D7E57">
        <w:rPr>
          <w:sz w:val="28"/>
          <w:szCs w:val="28"/>
        </w:rPr>
        <w:t xml:space="preserve"> </w:t>
      </w:r>
      <w:proofErr w:type="spellStart"/>
      <w:r w:rsidR="00B67390" w:rsidRPr="006D7E57">
        <w:rPr>
          <w:sz w:val="28"/>
          <w:szCs w:val="28"/>
        </w:rPr>
        <w:t>эндопротезирование</w:t>
      </w:r>
      <w:proofErr w:type="spellEnd"/>
      <w:r w:rsidR="00B67390" w:rsidRPr="006D7E57">
        <w:rPr>
          <w:sz w:val="28"/>
          <w:szCs w:val="28"/>
        </w:rPr>
        <w:t xml:space="preserve"> вполне логично </w:t>
      </w:r>
      <w:r w:rsidR="00D32EA5">
        <w:rPr>
          <w:sz w:val="28"/>
          <w:szCs w:val="28"/>
        </w:rPr>
        <w:t>может</w:t>
      </w:r>
      <w:r w:rsidR="00B67390" w:rsidRPr="006D7E57">
        <w:rPr>
          <w:sz w:val="28"/>
          <w:szCs w:val="28"/>
        </w:rPr>
        <w:t xml:space="preserve"> быть методом выбора по сравнению с тотальным, так как</w:t>
      </w:r>
      <w:r w:rsidR="00622462" w:rsidRPr="006D7E57">
        <w:rPr>
          <w:sz w:val="28"/>
          <w:szCs w:val="28"/>
        </w:rPr>
        <w:t xml:space="preserve"> ассоциировано с </w:t>
      </w:r>
      <w:r w:rsidR="00FB68F6" w:rsidRPr="006D7E57">
        <w:rPr>
          <w:sz w:val="28"/>
          <w:szCs w:val="28"/>
        </w:rPr>
        <w:t xml:space="preserve">меньшей </w:t>
      </w:r>
      <w:r w:rsidR="00401F0F" w:rsidRPr="006D7E57">
        <w:rPr>
          <w:sz w:val="28"/>
          <w:szCs w:val="28"/>
        </w:rPr>
        <w:t>на два порядка частот</w:t>
      </w:r>
      <w:r w:rsidR="00FB68F6" w:rsidRPr="006D7E57">
        <w:rPr>
          <w:sz w:val="28"/>
          <w:szCs w:val="28"/>
        </w:rPr>
        <w:t>ой</w:t>
      </w:r>
      <w:r w:rsidR="00401F0F" w:rsidRPr="006D7E57">
        <w:rPr>
          <w:sz w:val="28"/>
          <w:szCs w:val="28"/>
        </w:rPr>
        <w:t xml:space="preserve"> инфекционных осложнений</w:t>
      </w:r>
      <w:bookmarkStart w:id="1" w:name="_GoBack"/>
      <w:bookmarkEnd w:id="1"/>
      <w:r w:rsidR="004246E6" w:rsidRPr="001D27FF">
        <w:rPr>
          <w:sz w:val="28"/>
          <w:szCs w:val="28"/>
        </w:rPr>
        <w:t xml:space="preserve"> [9]</w:t>
      </w:r>
      <w:r w:rsidR="00FB68F6" w:rsidRPr="006D7E57">
        <w:rPr>
          <w:sz w:val="28"/>
          <w:szCs w:val="28"/>
        </w:rPr>
        <w:t xml:space="preserve">. </w:t>
      </w:r>
      <w:r w:rsidR="00AC278B" w:rsidRPr="006D7E57">
        <w:rPr>
          <w:sz w:val="28"/>
          <w:szCs w:val="28"/>
        </w:rPr>
        <w:t>Однако</w:t>
      </w:r>
      <w:r w:rsidR="001254DA" w:rsidRPr="006D7E57">
        <w:rPr>
          <w:sz w:val="28"/>
          <w:szCs w:val="28"/>
        </w:rPr>
        <w:t xml:space="preserve"> </w:t>
      </w:r>
      <w:r w:rsidR="00255ABF" w:rsidRPr="006D7E57">
        <w:rPr>
          <w:sz w:val="28"/>
          <w:szCs w:val="28"/>
        </w:rPr>
        <w:t xml:space="preserve">при </w:t>
      </w:r>
      <w:r w:rsidR="00AC278B" w:rsidRPr="006D7E57">
        <w:rPr>
          <w:sz w:val="28"/>
          <w:szCs w:val="28"/>
        </w:rPr>
        <w:t>этом проведение хирургического лечения требуется</w:t>
      </w:r>
      <w:r w:rsidR="004246E6">
        <w:rPr>
          <w:sz w:val="28"/>
          <w:szCs w:val="28"/>
        </w:rPr>
        <w:t>,</w:t>
      </w:r>
      <w:r w:rsidR="00F428C3" w:rsidRPr="006D7E57">
        <w:rPr>
          <w:sz w:val="28"/>
          <w:szCs w:val="28"/>
        </w:rPr>
        <w:t xml:space="preserve"> несомненно</w:t>
      </w:r>
      <w:r w:rsidR="004246E6">
        <w:rPr>
          <w:sz w:val="28"/>
          <w:szCs w:val="28"/>
        </w:rPr>
        <w:t>,</w:t>
      </w:r>
      <w:r w:rsidR="00F428C3" w:rsidRPr="006D7E57">
        <w:rPr>
          <w:sz w:val="28"/>
          <w:szCs w:val="28"/>
        </w:rPr>
        <w:t xml:space="preserve"> </w:t>
      </w:r>
      <w:r w:rsidR="00AC278B" w:rsidRPr="006D7E57">
        <w:rPr>
          <w:sz w:val="28"/>
          <w:szCs w:val="28"/>
        </w:rPr>
        <w:t xml:space="preserve">на более раннем </w:t>
      </w:r>
      <w:r w:rsidR="00CE6ECD" w:rsidRPr="006D7E57">
        <w:rPr>
          <w:sz w:val="28"/>
          <w:szCs w:val="28"/>
        </w:rPr>
        <w:t>сроке развития патологического процесса</w:t>
      </w:r>
      <w:r w:rsidR="00255ABF" w:rsidRPr="006D7E57">
        <w:rPr>
          <w:sz w:val="28"/>
          <w:szCs w:val="28"/>
        </w:rPr>
        <w:t xml:space="preserve"> в коленном сустав</w:t>
      </w:r>
      <w:r w:rsidR="00F428C3" w:rsidRPr="006D7E57">
        <w:rPr>
          <w:sz w:val="28"/>
          <w:szCs w:val="28"/>
        </w:rPr>
        <w:t xml:space="preserve">е. </w:t>
      </w:r>
    </w:p>
    <w:p w14:paraId="66A0BD70" w14:textId="4084F8CD" w:rsidR="001D2EE3" w:rsidRPr="006D7E57" w:rsidRDefault="000E25C6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t>В завершени</w:t>
      </w:r>
      <w:r w:rsidR="004246E6">
        <w:rPr>
          <w:sz w:val="28"/>
          <w:szCs w:val="28"/>
        </w:rPr>
        <w:t>е</w:t>
      </w:r>
      <w:r w:rsidRPr="006D7E57">
        <w:rPr>
          <w:sz w:val="28"/>
          <w:szCs w:val="28"/>
        </w:rPr>
        <w:t xml:space="preserve"> </w:t>
      </w:r>
      <w:r w:rsidR="00014BBA" w:rsidRPr="006D7E57">
        <w:rPr>
          <w:sz w:val="28"/>
          <w:szCs w:val="28"/>
        </w:rPr>
        <w:t>необходимо</w:t>
      </w:r>
      <w:r w:rsidRPr="006D7E57">
        <w:rPr>
          <w:sz w:val="28"/>
          <w:szCs w:val="28"/>
        </w:rPr>
        <w:t xml:space="preserve"> подчеркнуть, что</w:t>
      </w:r>
      <w:r w:rsidR="008704CE" w:rsidRPr="006D7E57">
        <w:rPr>
          <w:sz w:val="28"/>
          <w:szCs w:val="28"/>
        </w:rPr>
        <w:t xml:space="preserve"> хоть и</w:t>
      </w:r>
      <w:r w:rsidRPr="006D7E57">
        <w:rPr>
          <w:sz w:val="28"/>
          <w:szCs w:val="28"/>
        </w:rPr>
        <w:t xml:space="preserve"> </w:t>
      </w:r>
      <w:r w:rsidR="004B4237" w:rsidRPr="006D7E57">
        <w:rPr>
          <w:sz w:val="28"/>
          <w:szCs w:val="28"/>
        </w:rPr>
        <w:t>малая численность выборки требует</w:t>
      </w:r>
      <w:r w:rsidR="00014BBA" w:rsidRPr="006D7E57">
        <w:rPr>
          <w:sz w:val="28"/>
          <w:szCs w:val="28"/>
        </w:rPr>
        <w:t xml:space="preserve"> взвешенной трактовки полученных результатов, </w:t>
      </w:r>
      <w:r w:rsidR="008704CE" w:rsidRPr="006D7E57">
        <w:rPr>
          <w:sz w:val="28"/>
          <w:szCs w:val="28"/>
        </w:rPr>
        <w:t>данн</w:t>
      </w:r>
      <w:r w:rsidR="00D91F9C" w:rsidRPr="006D7E57">
        <w:rPr>
          <w:sz w:val="28"/>
          <w:szCs w:val="28"/>
        </w:rPr>
        <w:t>ая работа</w:t>
      </w:r>
      <w:r w:rsidR="008704CE" w:rsidRPr="006D7E57">
        <w:rPr>
          <w:sz w:val="28"/>
          <w:szCs w:val="28"/>
        </w:rPr>
        <w:t xml:space="preserve"> является крайне важн</w:t>
      </w:r>
      <w:r w:rsidR="00D91F9C" w:rsidRPr="006D7E57">
        <w:rPr>
          <w:sz w:val="28"/>
          <w:szCs w:val="28"/>
        </w:rPr>
        <w:t xml:space="preserve">ой, привлекая внимание клиницистов к </w:t>
      </w:r>
      <w:r w:rsidR="001D2EE3" w:rsidRPr="006D7E57">
        <w:rPr>
          <w:sz w:val="28"/>
          <w:szCs w:val="28"/>
        </w:rPr>
        <w:t xml:space="preserve">комплексу </w:t>
      </w:r>
      <w:r w:rsidR="0097134B" w:rsidRPr="006D7E57">
        <w:rPr>
          <w:sz w:val="28"/>
          <w:szCs w:val="28"/>
        </w:rPr>
        <w:t xml:space="preserve">системных и частных </w:t>
      </w:r>
      <w:r w:rsidR="00D92AFF" w:rsidRPr="006D7E57">
        <w:rPr>
          <w:sz w:val="28"/>
          <w:szCs w:val="28"/>
        </w:rPr>
        <w:t>проблем</w:t>
      </w:r>
      <w:r w:rsidR="001D2EE3" w:rsidRPr="006D7E57">
        <w:rPr>
          <w:sz w:val="28"/>
          <w:szCs w:val="28"/>
        </w:rPr>
        <w:t xml:space="preserve">, которые </w:t>
      </w:r>
      <w:r w:rsidR="0097134B" w:rsidRPr="006D7E57">
        <w:rPr>
          <w:sz w:val="28"/>
          <w:szCs w:val="28"/>
        </w:rPr>
        <w:t>возникают</w:t>
      </w:r>
      <w:r w:rsidR="001D2EE3" w:rsidRPr="006D7E57">
        <w:rPr>
          <w:sz w:val="28"/>
          <w:szCs w:val="28"/>
        </w:rPr>
        <w:t xml:space="preserve"> при </w:t>
      </w:r>
      <w:r w:rsidR="002A6AEC" w:rsidRPr="006D7E57">
        <w:rPr>
          <w:sz w:val="28"/>
          <w:szCs w:val="28"/>
        </w:rPr>
        <w:t xml:space="preserve">проведении </w:t>
      </w:r>
      <w:r w:rsidR="009F425D">
        <w:rPr>
          <w:sz w:val="28"/>
          <w:szCs w:val="28"/>
        </w:rPr>
        <w:t>тотального эндопротезирования коленного сустава</w:t>
      </w:r>
      <w:r w:rsidR="0097134B" w:rsidRPr="006D7E57">
        <w:rPr>
          <w:sz w:val="28"/>
          <w:szCs w:val="28"/>
        </w:rPr>
        <w:t xml:space="preserve"> больны</w:t>
      </w:r>
      <w:r w:rsidR="002A6AEC" w:rsidRPr="006D7E57">
        <w:rPr>
          <w:sz w:val="28"/>
          <w:szCs w:val="28"/>
        </w:rPr>
        <w:t>м</w:t>
      </w:r>
      <w:r w:rsidR="0097134B" w:rsidRPr="006D7E57">
        <w:rPr>
          <w:sz w:val="28"/>
          <w:szCs w:val="28"/>
        </w:rPr>
        <w:t xml:space="preserve"> с </w:t>
      </w:r>
      <w:r w:rsidR="004246E6">
        <w:rPr>
          <w:sz w:val="28"/>
          <w:szCs w:val="28"/>
        </w:rPr>
        <w:t>хронической болезнью почек</w:t>
      </w:r>
      <w:r w:rsidR="002A6AEC" w:rsidRPr="006D7E57">
        <w:rPr>
          <w:sz w:val="28"/>
          <w:szCs w:val="28"/>
        </w:rPr>
        <w:t>, находящи</w:t>
      </w:r>
      <w:r w:rsidR="0019190B" w:rsidRPr="006D7E57">
        <w:rPr>
          <w:sz w:val="28"/>
          <w:szCs w:val="28"/>
        </w:rPr>
        <w:t>м</w:t>
      </w:r>
      <w:r w:rsidR="002A6AEC" w:rsidRPr="006D7E57">
        <w:rPr>
          <w:sz w:val="28"/>
          <w:szCs w:val="28"/>
        </w:rPr>
        <w:t xml:space="preserve">ся на гемодиализе. </w:t>
      </w:r>
    </w:p>
    <w:p w14:paraId="7C1EA925" w14:textId="68618C98" w:rsidR="00051FAA" w:rsidRPr="006D7E57" w:rsidRDefault="00E44A71" w:rsidP="00650337">
      <w:pPr>
        <w:spacing w:line="360" w:lineRule="auto"/>
        <w:ind w:firstLine="708"/>
        <w:jc w:val="both"/>
        <w:rPr>
          <w:sz w:val="28"/>
          <w:szCs w:val="28"/>
        </w:rPr>
      </w:pPr>
      <w:r w:rsidRPr="006D7E57">
        <w:rPr>
          <w:sz w:val="28"/>
          <w:szCs w:val="28"/>
        </w:rPr>
        <w:t xml:space="preserve"> </w:t>
      </w:r>
      <w:r w:rsidR="00E8488A">
        <w:rPr>
          <w:sz w:val="28"/>
          <w:szCs w:val="28"/>
        </w:rPr>
        <w:t>Литература</w:t>
      </w:r>
    </w:p>
    <w:p w14:paraId="24E09763" w14:textId="77777777" w:rsidR="00E8488A" w:rsidRPr="00E8488A" w:rsidRDefault="00E11F55" w:rsidP="00E8488A">
      <w:pPr>
        <w:pStyle w:val="aa"/>
        <w:numPr>
          <w:ilvl w:val="0"/>
          <w:numId w:val="1"/>
        </w:numPr>
      </w:pPr>
      <w:r w:rsidRPr="006D7E57">
        <w:rPr>
          <w:sz w:val="28"/>
          <w:szCs w:val="28"/>
        </w:rPr>
        <w:tab/>
      </w:r>
      <w:r w:rsidR="00E8488A" w:rsidRPr="00E8488A">
        <w:annotationRef/>
      </w:r>
      <w:r w:rsidR="00E8488A" w:rsidRPr="00E8488A">
        <w:t xml:space="preserve">Преображенский П.М., Филь А.С., Корнилов Н.Н., Пантелеев А.Н., </w:t>
      </w:r>
      <w:proofErr w:type="spellStart"/>
      <w:r w:rsidR="00E8488A" w:rsidRPr="00E8488A">
        <w:t>Гуацаев</w:t>
      </w:r>
      <w:proofErr w:type="spellEnd"/>
      <w:r w:rsidR="00E8488A" w:rsidRPr="00E8488A">
        <w:t xml:space="preserve"> М.С., </w:t>
      </w:r>
      <w:proofErr w:type="spellStart"/>
      <w:r w:rsidR="00E8488A" w:rsidRPr="00E8488A">
        <w:t>Каземирский</w:t>
      </w:r>
      <w:proofErr w:type="spellEnd"/>
      <w:r w:rsidR="00E8488A" w:rsidRPr="00E8488A">
        <w:t xml:space="preserve"> А.В., Мазуренко А.В., Середа А.П. Эндопротезирование коленного сустава в клинической практике: анализ 36 350 наблюдений из регистра НМИЦ ТО имени Р.Р. Вредена // Травматология и ортопедия России. - 2023. - Т. 29. - №3. - C. 73-85. </w:t>
      </w:r>
      <w:proofErr w:type="spellStart"/>
      <w:r w:rsidR="00E8488A" w:rsidRPr="00E8488A">
        <w:t>doi</w:t>
      </w:r>
      <w:proofErr w:type="spellEnd"/>
      <w:r w:rsidR="00E8488A" w:rsidRPr="00E8488A">
        <w:t>: 10.17816/2311-2905-9349.</w:t>
      </w:r>
    </w:p>
    <w:p w14:paraId="571C8868" w14:textId="77777777" w:rsidR="00E8488A" w:rsidRPr="00E8488A" w:rsidRDefault="00E8488A" w:rsidP="00E8488A">
      <w:pPr>
        <w:numPr>
          <w:ilvl w:val="0"/>
          <w:numId w:val="1"/>
        </w:numPr>
        <w:spacing w:after="160" w:line="259" w:lineRule="auto"/>
        <w:contextualSpacing/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</w:pPr>
      <w:r w:rsidRPr="00E8488A">
        <w:rPr>
          <w:rFonts w:ascii="PT Serif" w:eastAsiaTheme="minorHAnsi" w:hAnsi="PT Serif" w:cs="PT Serif"/>
          <w:spacing w:val="2"/>
          <w:sz w:val="16"/>
          <w:szCs w:val="16"/>
          <w:lang w:eastAsia="en-US"/>
        </w:rPr>
        <w:annotationRef/>
      </w:r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Inui H,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Yamagami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R,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Kono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K, Kawaguchi K. What are the causes of failure after total knee arthroplasty? Journal of Joint Surgery and Research</w:t>
      </w:r>
      <w:r w:rsidRPr="001D27FF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</w:t>
      </w:r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Volume 1, Issue 1, December 2023, Pages 32-40. https://doi.org/10.1016/j.jjoisr.2022.12.002</w:t>
      </w:r>
    </w:p>
    <w:p w14:paraId="7CA9D6A5" w14:textId="77777777" w:rsidR="00E8488A" w:rsidRPr="00E8488A" w:rsidRDefault="00E8488A" w:rsidP="00E8488A">
      <w:pPr>
        <w:numPr>
          <w:ilvl w:val="0"/>
          <w:numId w:val="1"/>
        </w:numPr>
        <w:spacing w:after="160" w:line="259" w:lineRule="auto"/>
        <w:contextualSpacing/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</w:pPr>
      <w:r w:rsidRPr="00E8488A">
        <w:rPr>
          <w:rFonts w:ascii="PT Serif" w:eastAsiaTheme="minorHAnsi" w:hAnsi="PT Serif" w:cs="PT Serif"/>
          <w:spacing w:val="2"/>
          <w:sz w:val="16"/>
          <w:szCs w:val="16"/>
          <w:lang w:eastAsia="en-US"/>
        </w:rPr>
        <w:annotationRef/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Jämsä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P,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Jämsen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E,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Huhtala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H,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Eskelinen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A,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Oksala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N. Moderate to Severe Renal Insufficiency Is Associated With High Mortality After Hip and Knee Replacement.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Clin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Orthop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Relat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Res. 2018 Jun;476(6):1284-1292.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doi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: 10.1007/s11999.0000000000000256. PMID: 29601379; PMCID: PMC6263598.</w:t>
      </w:r>
    </w:p>
    <w:p w14:paraId="1A9C621E" w14:textId="77777777" w:rsidR="00E8488A" w:rsidRPr="00E8488A" w:rsidRDefault="00E8488A" w:rsidP="00E8488A">
      <w:pPr>
        <w:numPr>
          <w:ilvl w:val="0"/>
          <w:numId w:val="1"/>
        </w:numPr>
        <w:spacing w:after="160" w:line="259" w:lineRule="auto"/>
        <w:contextualSpacing/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</w:pP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Castagnini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F,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Bordini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B,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Cosentino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M,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Ancarani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C,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Lucchini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S, Bracci G, Traina F. Constraint in complex primary total knee arthroplasty: rotating hinge versus condylar constrained implants. Arch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Orthop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Trauma Surg. 2022 Dec;142(12):3965-3973.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doi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: 10.1007/s00402-021-04322-z.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Epub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2022 Jan 27. Erratum in: Arch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Orthop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Trauma Surg. 2022 Aug 17</w:t>
      </w:r>
      <w:proofErr w:type="gram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;:</w:t>
      </w:r>
      <w:proofErr w:type="gram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PMID: 35083520.</w:t>
      </w:r>
    </w:p>
    <w:p w14:paraId="7C6CDB35" w14:textId="77777777" w:rsidR="00E8488A" w:rsidRPr="00E8488A" w:rsidRDefault="00E8488A" w:rsidP="00E8488A">
      <w:pPr>
        <w:numPr>
          <w:ilvl w:val="0"/>
          <w:numId w:val="1"/>
        </w:numPr>
        <w:spacing w:after="160" w:line="259" w:lineRule="auto"/>
        <w:contextualSpacing/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</w:pPr>
      <w:r w:rsidRPr="00E8488A">
        <w:rPr>
          <w:rFonts w:ascii="PT Serif" w:eastAsiaTheme="minorHAnsi" w:hAnsi="PT Serif" w:cs="PT Serif"/>
          <w:spacing w:val="2"/>
          <w:sz w:val="16"/>
          <w:szCs w:val="16"/>
          <w:lang w:eastAsia="en-US"/>
        </w:rPr>
        <w:annotationRef/>
      </w:r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Malkani AL,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Hitt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KD,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Badarudeen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S, Lewis C, Cherian J,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Elmallah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R, Mont MA. The Difficult Primary Total Knee Arthroplasty.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Instr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Course Lect. 2016;65:243-65. PMID: 27049194.</w:t>
      </w:r>
    </w:p>
    <w:p w14:paraId="772276F0" w14:textId="77777777" w:rsidR="00E8488A" w:rsidRPr="00E8488A" w:rsidRDefault="00E8488A" w:rsidP="00E8488A">
      <w:pPr>
        <w:numPr>
          <w:ilvl w:val="0"/>
          <w:numId w:val="1"/>
        </w:numPr>
        <w:spacing w:after="160" w:line="259" w:lineRule="auto"/>
        <w:contextualSpacing/>
        <w:rPr>
          <w:rFonts w:ascii="PT Serif" w:eastAsiaTheme="minorHAnsi" w:hAnsi="PT Serif" w:cs="PT Serif"/>
          <w:spacing w:val="2"/>
          <w:sz w:val="20"/>
          <w:szCs w:val="20"/>
          <w:lang w:eastAsia="en-US"/>
        </w:rPr>
      </w:pPr>
      <w:r w:rsidRPr="00E8488A">
        <w:rPr>
          <w:rFonts w:ascii="PT Serif" w:eastAsiaTheme="minorHAnsi" w:hAnsi="PT Serif" w:cs="PT Serif"/>
          <w:spacing w:val="2"/>
          <w:sz w:val="16"/>
          <w:szCs w:val="16"/>
          <w:lang w:eastAsia="en-US"/>
        </w:rPr>
        <w:annotationRef/>
      </w:r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 xml:space="preserve">Руководство по первичному эндопротезированию коленного сустава. Второе издание, исправленное и дополненное Куляба Т.А., Корнилов Н.Н.,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>Тихилов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 xml:space="preserve"> Р.М. Санкт- Петербург</w:t>
      </w:r>
      <w:proofErr w:type="gramStart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 xml:space="preserve"> :</w:t>
      </w:r>
      <w:proofErr w:type="gramEnd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 xml:space="preserve"> НМИЦ ТО им. Р.Р. Вредена, 2022 г. 636 стр.</w:t>
      </w:r>
    </w:p>
    <w:p w14:paraId="0039CA9B" w14:textId="77777777" w:rsidR="00E8488A" w:rsidRPr="00E8488A" w:rsidRDefault="00E8488A" w:rsidP="00E8488A">
      <w:pPr>
        <w:numPr>
          <w:ilvl w:val="0"/>
          <w:numId w:val="1"/>
        </w:numPr>
        <w:spacing w:after="160" w:line="259" w:lineRule="auto"/>
        <w:contextualSpacing/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</w:pPr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Baldini A, Castellani L,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Traverso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F,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Balatri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A,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Balato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G, Franceschini V. The difficult primary total knee arthroplasty: a review. Bone Joint J. 2015 Oct;97-B(10 Suppl A):30-9.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doi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: 10.1302/0301-620X.97B10.36920. PMID: 26430084.</w:t>
      </w:r>
    </w:p>
    <w:p w14:paraId="441E41B3" w14:textId="77777777" w:rsidR="00E8488A" w:rsidRPr="00E8488A" w:rsidRDefault="00E8488A" w:rsidP="00E8488A">
      <w:pPr>
        <w:numPr>
          <w:ilvl w:val="0"/>
          <w:numId w:val="1"/>
        </w:numPr>
        <w:spacing w:after="160" w:line="259" w:lineRule="auto"/>
        <w:contextualSpacing/>
        <w:rPr>
          <w:rFonts w:ascii="PT Serif" w:eastAsiaTheme="minorHAnsi" w:hAnsi="PT Serif" w:cs="PT Serif"/>
          <w:spacing w:val="2"/>
          <w:sz w:val="20"/>
          <w:szCs w:val="20"/>
          <w:lang w:eastAsia="en-US"/>
        </w:rPr>
      </w:pPr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Luo Y, Gong J, Yang S. Knee and hip arthroplasty joint surgical site wound infection in end-stage renal disease subjects who underwent dialysis or a kidney transplant: A meta-analysis. Int Wound J. 2023 Sep;20(7):2811-2819.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doi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: 10.1111/iwj.14160.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Epub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2023 Apr 10.</w:t>
      </w:r>
    </w:p>
    <w:p w14:paraId="57CB3C01" w14:textId="77777777" w:rsidR="00E8488A" w:rsidRPr="00E8488A" w:rsidRDefault="00E8488A" w:rsidP="00E8488A">
      <w:pPr>
        <w:numPr>
          <w:ilvl w:val="0"/>
          <w:numId w:val="1"/>
        </w:numPr>
        <w:spacing w:after="160" w:line="259" w:lineRule="auto"/>
        <w:contextualSpacing/>
        <w:rPr>
          <w:rFonts w:ascii="PT Serif" w:eastAsiaTheme="minorHAnsi" w:hAnsi="PT Serif" w:cs="PT Serif"/>
          <w:spacing w:val="2"/>
          <w:sz w:val="20"/>
          <w:szCs w:val="20"/>
          <w:lang w:eastAsia="en-US"/>
        </w:rPr>
      </w:pPr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Prats-Uribe A, Kolovos S,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Berencsi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K,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Carr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A, Judge A, Silman A, Arden N, Petersen I, Douglas IJ, Wilkinson JM, Murray D, Valderas JM, Beard DJ, Lamb SE, Ali MS, Pinedo-Villanueva R, Strauss VY, Prieto-Alhambra D.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Unicompartmental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 compared with total knee replacement for patients with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>multimorbidities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val="en-US" w:eastAsia="en-US"/>
        </w:rPr>
        <w:t xml:space="preserve">: a cohort study using propensity score stratification and inverse probability weighting.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>Health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 xml:space="preserve">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>Technol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 xml:space="preserve">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>Assess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 xml:space="preserve">. 2021 Nov;25(66):1-126. </w:t>
      </w:r>
      <w:proofErr w:type="spellStart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>doi</w:t>
      </w:r>
      <w:proofErr w:type="spellEnd"/>
      <w:r w:rsidRPr="00E8488A">
        <w:rPr>
          <w:rFonts w:ascii="PT Serif" w:eastAsiaTheme="minorHAnsi" w:hAnsi="PT Serif" w:cs="PT Serif"/>
          <w:spacing w:val="2"/>
          <w:sz w:val="20"/>
          <w:szCs w:val="20"/>
          <w:lang w:eastAsia="en-US"/>
        </w:rPr>
        <w:t>: 10.3310/hta25660.</w:t>
      </w:r>
    </w:p>
    <w:p w14:paraId="2AC9E1A2" w14:textId="77777777" w:rsidR="00E8488A" w:rsidRPr="00E8488A" w:rsidRDefault="00E8488A" w:rsidP="00E8488A">
      <w:pPr>
        <w:spacing w:after="160" w:line="259" w:lineRule="auto"/>
        <w:rPr>
          <w:rFonts w:ascii="PT Serif" w:eastAsiaTheme="minorHAnsi" w:hAnsi="PT Serif" w:cs="PT Serif"/>
          <w:spacing w:val="2"/>
          <w:sz w:val="20"/>
          <w:szCs w:val="20"/>
          <w:lang w:eastAsia="en-US"/>
        </w:rPr>
      </w:pPr>
    </w:p>
    <w:p w14:paraId="2A452210" w14:textId="1DE1D394" w:rsidR="00287161" w:rsidRPr="006D7E57" w:rsidRDefault="00287161" w:rsidP="00650337">
      <w:pPr>
        <w:spacing w:line="360" w:lineRule="auto"/>
        <w:jc w:val="both"/>
        <w:rPr>
          <w:sz w:val="28"/>
          <w:szCs w:val="28"/>
        </w:rPr>
      </w:pPr>
    </w:p>
    <w:sectPr w:rsidR="00287161" w:rsidRPr="006D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Ömer ŞEN" w:date="2023-12-06T21:17:00Z" w:initials="ÖŞ">
    <w:p w14:paraId="1ABABB42" w14:textId="77777777" w:rsidR="009F425D" w:rsidRPr="00076E9D" w:rsidRDefault="009F425D" w:rsidP="00591DB8">
      <w:pPr>
        <w:pStyle w:val="a4"/>
        <w:rPr>
          <w:lang w:val="en-US"/>
        </w:rPr>
      </w:pPr>
      <w:r>
        <w:rPr>
          <w:rStyle w:val="a3"/>
        </w:rPr>
        <w:annotationRef/>
      </w:r>
      <w:r>
        <w:t>Непонятны</w:t>
      </w:r>
      <w:r w:rsidRPr="00076E9D">
        <w:rPr>
          <w:lang w:val="en-US"/>
        </w:rPr>
        <w:t xml:space="preserve"> </w:t>
      </w:r>
      <w:r>
        <w:t>знаки</w:t>
      </w:r>
      <w:r w:rsidRPr="00076E9D">
        <w:rPr>
          <w:lang w:val="en-US"/>
        </w:rPr>
        <w:t xml:space="preserve"> </w:t>
      </w:r>
      <w:r>
        <w:t>препинания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FDEBAE" w15:done="0"/>
  <w15:commentEx w15:paraId="170F0670" w15:done="0"/>
  <w15:commentEx w15:paraId="53CF650A" w15:done="0"/>
  <w15:commentEx w15:paraId="14F79CE6" w15:done="0"/>
  <w15:commentEx w15:paraId="059FF6C9" w15:done="0"/>
  <w15:commentEx w15:paraId="08E75BF2" w15:done="0"/>
  <w15:commentEx w15:paraId="393088F8" w15:done="0"/>
  <w15:commentEx w15:paraId="1FFEF718" w15:done="0"/>
  <w15:commentEx w15:paraId="5734AA4F" w15:done="0"/>
  <w15:commentEx w15:paraId="1ABABB42" w15:done="0"/>
  <w15:commentEx w15:paraId="4234ED1A" w15:done="0"/>
  <w15:commentEx w15:paraId="32089684" w15:done="0"/>
  <w15:commentEx w15:paraId="014768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661AD9" w16cex:dateUtc="2023-11-29T09:25:00Z"/>
  <w16cex:commentExtensible w16cex:durableId="650C134C" w16cex:dateUtc="2023-11-29T09:33:00Z"/>
  <w16cex:commentExtensible w16cex:durableId="3DDB72FD" w16cex:dateUtc="2023-12-06T18:09:00Z"/>
  <w16cex:commentExtensible w16cex:durableId="4F142A83" w16cex:dateUtc="2023-11-29T09:19:00Z"/>
  <w16cex:commentExtensible w16cex:durableId="467F550F" w16cex:dateUtc="2023-11-29T09:45:00Z"/>
  <w16cex:commentExtensible w16cex:durableId="5D0BF454" w16cex:dateUtc="2023-11-29T09:48:00Z"/>
  <w16cex:commentExtensible w16cex:durableId="1F29F012" w16cex:dateUtc="2023-11-29T09:51:00Z"/>
  <w16cex:commentExtensible w16cex:durableId="1540EF73" w16cex:dateUtc="2023-11-29T09:49:00Z"/>
  <w16cex:commentExtensible w16cex:durableId="2EE704B5" w16cex:dateUtc="2023-12-06T18:15:00Z"/>
  <w16cex:commentExtensible w16cex:durableId="661C6A6A" w16cex:dateUtc="2023-12-06T18:17:00Z"/>
  <w16cex:commentExtensible w16cex:durableId="7AE2E796" w16cex:dateUtc="2023-11-29T09:55:00Z"/>
  <w16cex:commentExtensible w16cex:durableId="077ADA40" w16cex:dateUtc="2023-11-29T09:18:00Z"/>
  <w16cex:commentExtensible w16cex:durableId="62AB9908" w16cex:dateUtc="2023-11-29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DEBAE" w16cid:durableId="74661AD9"/>
  <w16cid:commentId w16cid:paraId="170F0670" w16cid:durableId="650C134C"/>
  <w16cid:commentId w16cid:paraId="53CF650A" w16cid:durableId="3DDB72FD"/>
  <w16cid:commentId w16cid:paraId="14F79CE6" w16cid:durableId="4F142A83"/>
  <w16cid:commentId w16cid:paraId="059FF6C9" w16cid:durableId="467F550F"/>
  <w16cid:commentId w16cid:paraId="08E75BF2" w16cid:durableId="5D0BF454"/>
  <w16cid:commentId w16cid:paraId="393088F8" w16cid:durableId="1F29F012"/>
  <w16cid:commentId w16cid:paraId="1FFEF718" w16cid:durableId="1540EF73"/>
  <w16cid:commentId w16cid:paraId="5734AA4F" w16cid:durableId="2EE704B5"/>
  <w16cid:commentId w16cid:paraId="1ABABB42" w16cid:durableId="661C6A6A"/>
  <w16cid:commentId w16cid:paraId="4234ED1A" w16cid:durableId="7AE2E796"/>
  <w16cid:commentId w16cid:paraId="32089684" w16cid:durableId="077ADA40"/>
  <w16cid:commentId w16cid:paraId="014768CD" w16cid:durableId="62AB99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5F59"/>
    <w:multiLevelType w:val="hybridMultilevel"/>
    <w:tmpl w:val="A566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kolay Kornilov">
    <w15:presenceInfo w15:providerId="Windows Live" w15:userId="6a0a90f310f2060d"/>
  </w15:person>
  <w15:person w15:author="Ömer ŞEN">
    <w15:presenceInfo w15:providerId="AD" w15:userId="S::omersen773@aof.anadolu.edu.tr::d02c5225-a71f-4ba1-ae83-008bfc875c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04"/>
    <w:rsid w:val="00003B4E"/>
    <w:rsid w:val="00014BBA"/>
    <w:rsid w:val="0002711A"/>
    <w:rsid w:val="000312E7"/>
    <w:rsid w:val="00045845"/>
    <w:rsid w:val="00051FAA"/>
    <w:rsid w:val="00076E9D"/>
    <w:rsid w:val="00085B7D"/>
    <w:rsid w:val="0009317B"/>
    <w:rsid w:val="000A380C"/>
    <w:rsid w:val="000C11D8"/>
    <w:rsid w:val="000C1541"/>
    <w:rsid w:val="000D221F"/>
    <w:rsid w:val="000E25C6"/>
    <w:rsid w:val="000E51EF"/>
    <w:rsid w:val="000F4733"/>
    <w:rsid w:val="00106115"/>
    <w:rsid w:val="00106FB2"/>
    <w:rsid w:val="00124EC8"/>
    <w:rsid w:val="001254DA"/>
    <w:rsid w:val="0016412E"/>
    <w:rsid w:val="00172889"/>
    <w:rsid w:val="0018287C"/>
    <w:rsid w:val="0019190B"/>
    <w:rsid w:val="001A655A"/>
    <w:rsid w:val="001C43D2"/>
    <w:rsid w:val="001C6687"/>
    <w:rsid w:val="001D27FF"/>
    <w:rsid w:val="001D2EE3"/>
    <w:rsid w:val="001E543F"/>
    <w:rsid w:val="001F1478"/>
    <w:rsid w:val="00214CC3"/>
    <w:rsid w:val="00236240"/>
    <w:rsid w:val="00241992"/>
    <w:rsid w:val="002549AB"/>
    <w:rsid w:val="00255ABF"/>
    <w:rsid w:val="00263CD9"/>
    <w:rsid w:val="00263D47"/>
    <w:rsid w:val="00283B38"/>
    <w:rsid w:val="00287161"/>
    <w:rsid w:val="002A6AEC"/>
    <w:rsid w:val="002A7ABF"/>
    <w:rsid w:val="002B6C8D"/>
    <w:rsid w:val="002B7568"/>
    <w:rsid w:val="002C0BE1"/>
    <w:rsid w:val="002C7BEA"/>
    <w:rsid w:val="002E7C81"/>
    <w:rsid w:val="00302B8A"/>
    <w:rsid w:val="003032BB"/>
    <w:rsid w:val="00312364"/>
    <w:rsid w:val="003272B4"/>
    <w:rsid w:val="003712AA"/>
    <w:rsid w:val="003C2D23"/>
    <w:rsid w:val="003E2DA1"/>
    <w:rsid w:val="003F422D"/>
    <w:rsid w:val="004016A1"/>
    <w:rsid w:val="00401F0F"/>
    <w:rsid w:val="00403987"/>
    <w:rsid w:val="004043EF"/>
    <w:rsid w:val="004246E6"/>
    <w:rsid w:val="00435342"/>
    <w:rsid w:val="0044546E"/>
    <w:rsid w:val="004546CF"/>
    <w:rsid w:val="00475BC1"/>
    <w:rsid w:val="00495FDC"/>
    <w:rsid w:val="004B4237"/>
    <w:rsid w:val="004C1625"/>
    <w:rsid w:val="004C30F4"/>
    <w:rsid w:val="004C75A3"/>
    <w:rsid w:val="00515243"/>
    <w:rsid w:val="00541BE3"/>
    <w:rsid w:val="0059091E"/>
    <w:rsid w:val="005B3BD8"/>
    <w:rsid w:val="005C7987"/>
    <w:rsid w:val="00622462"/>
    <w:rsid w:val="00650337"/>
    <w:rsid w:val="00662B5C"/>
    <w:rsid w:val="00664A32"/>
    <w:rsid w:val="006663F5"/>
    <w:rsid w:val="006715D8"/>
    <w:rsid w:val="006926C5"/>
    <w:rsid w:val="006C066C"/>
    <w:rsid w:val="006D7B11"/>
    <w:rsid w:val="006D7E57"/>
    <w:rsid w:val="00703A64"/>
    <w:rsid w:val="00704C08"/>
    <w:rsid w:val="00711D3D"/>
    <w:rsid w:val="0072616B"/>
    <w:rsid w:val="007273BC"/>
    <w:rsid w:val="0073341E"/>
    <w:rsid w:val="00747D25"/>
    <w:rsid w:val="0076790A"/>
    <w:rsid w:val="00770B04"/>
    <w:rsid w:val="0077751F"/>
    <w:rsid w:val="007804EC"/>
    <w:rsid w:val="007B0540"/>
    <w:rsid w:val="007C3E54"/>
    <w:rsid w:val="007F051C"/>
    <w:rsid w:val="00800CE9"/>
    <w:rsid w:val="008324D1"/>
    <w:rsid w:val="0084125A"/>
    <w:rsid w:val="008704CE"/>
    <w:rsid w:val="00882003"/>
    <w:rsid w:val="008942AF"/>
    <w:rsid w:val="008C6774"/>
    <w:rsid w:val="008D719C"/>
    <w:rsid w:val="008D720E"/>
    <w:rsid w:val="008E7E94"/>
    <w:rsid w:val="00900DCC"/>
    <w:rsid w:val="00937578"/>
    <w:rsid w:val="00946274"/>
    <w:rsid w:val="009643B8"/>
    <w:rsid w:val="0097134B"/>
    <w:rsid w:val="009779B7"/>
    <w:rsid w:val="009868C6"/>
    <w:rsid w:val="00997656"/>
    <w:rsid w:val="009A447F"/>
    <w:rsid w:val="009A5A54"/>
    <w:rsid w:val="009A682C"/>
    <w:rsid w:val="009B0D51"/>
    <w:rsid w:val="009B3EAE"/>
    <w:rsid w:val="009B70F6"/>
    <w:rsid w:val="009C4588"/>
    <w:rsid w:val="009D7C52"/>
    <w:rsid w:val="009F425D"/>
    <w:rsid w:val="00A06D59"/>
    <w:rsid w:val="00A07A1B"/>
    <w:rsid w:val="00A07DE9"/>
    <w:rsid w:val="00A12133"/>
    <w:rsid w:val="00A21D32"/>
    <w:rsid w:val="00A27093"/>
    <w:rsid w:val="00A31976"/>
    <w:rsid w:val="00A357E0"/>
    <w:rsid w:val="00A53D53"/>
    <w:rsid w:val="00A70466"/>
    <w:rsid w:val="00A82612"/>
    <w:rsid w:val="00AA69C6"/>
    <w:rsid w:val="00AB4EEE"/>
    <w:rsid w:val="00AC278B"/>
    <w:rsid w:val="00AC415B"/>
    <w:rsid w:val="00B10D04"/>
    <w:rsid w:val="00B11E2E"/>
    <w:rsid w:val="00B25184"/>
    <w:rsid w:val="00B536BB"/>
    <w:rsid w:val="00B67390"/>
    <w:rsid w:val="00B6755B"/>
    <w:rsid w:val="00B91E3C"/>
    <w:rsid w:val="00BA2653"/>
    <w:rsid w:val="00BB59D3"/>
    <w:rsid w:val="00BB5F2E"/>
    <w:rsid w:val="00BC1EF6"/>
    <w:rsid w:val="00BC30A0"/>
    <w:rsid w:val="00BD231F"/>
    <w:rsid w:val="00BD332B"/>
    <w:rsid w:val="00C13307"/>
    <w:rsid w:val="00C33387"/>
    <w:rsid w:val="00C45FF6"/>
    <w:rsid w:val="00C65321"/>
    <w:rsid w:val="00C81287"/>
    <w:rsid w:val="00C83967"/>
    <w:rsid w:val="00C92C8E"/>
    <w:rsid w:val="00CB4DC3"/>
    <w:rsid w:val="00CB7E1F"/>
    <w:rsid w:val="00CC3225"/>
    <w:rsid w:val="00CD43F9"/>
    <w:rsid w:val="00CE47F0"/>
    <w:rsid w:val="00CE5EB0"/>
    <w:rsid w:val="00CE6ECD"/>
    <w:rsid w:val="00D04A4C"/>
    <w:rsid w:val="00D32EA5"/>
    <w:rsid w:val="00D334C6"/>
    <w:rsid w:val="00D664A2"/>
    <w:rsid w:val="00D67FE5"/>
    <w:rsid w:val="00D80708"/>
    <w:rsid w:val="00D87943"/>
    <w:rsid w:val="00D91F9C"/>
    <w:rsid w:val="00D92AFF"/>
    <w:rsid w:val="00DE3574"/>
    <w:rsid w:val="00DE5107"/>
    <w:rsid w:val="00DE63F6"/>
    <w:rsid w:val="00DE7A63"/>
    <w:rsid w:val="00E04895"/>
    <w:rsid w:val="00E06220"/>
    <w:rsid w:val="00E11F55"/>
    <w:rsid w:val="00E44A71"/>
    <w:rsid w:val="00E76EA9"/>
    <w:rsid w:val="00E8488A"/>
    <w:rsid w:val="00EA1A5E"/>
    <w:rsid w:val="00EC71B3"/>
    <w:rsid w:val="00ED453C"/>
    <w:rsid w:val="00EE1AB7"/>
    <w:rsid w:val="00EE5345"/>
    <w:rsid w:val="00F17496"/>
    <w:rsid w:val="00F24E54"/>
    <w:rsid w:val="00F428C3"/>
    <w:rsid w:val="00F44D54"/>
    <w:rsid w:val="00F463E9"/>
    <w:rsid w:val="00F70094"/>
    <w:rsid w:val="00F81B56"/>
    <w:rsid w:val="00F82639"/>
    <w:rsid w:val="00FA078F"/>
    <w:rsid w:val="00FB68F6"/>
    <w:rsid w:val="00FC0ADB"/>
    <w:rsid w:val="00FD66AE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E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8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475BC1"/>
  </w:style>
  <w:style w:type="character" w:customStyle="1" w:styleId="apple-converted-space">
    <w:name w:val="apple-converted-space"/>
    <w:basedOn w:val="a0"/>
    <w:rsid w:val="00475BC1"/>
  </w:style>
  <w:style w:type="character" w:styleId="a3">
    <w:name w:val="annotation reference"/>
    <w:basedOn w:val="a0"/>
    <w:uiPriority w:val="99"/>
    <w:semiHidden/>
    <w:unhideWhenUsed/>
    <w:rsid w:val="009643B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643B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643B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643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643B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6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68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488A"/>
    <w:pPr>
      <w:spacing w:after="160" w:line="259" w:lineRule="auto"/>
      <w:ind w:left="720"/>
      <w:contextualSpacing/>
    </w:pPr>
    <w:rPr>
      <w:rFonts w:ascii="PT Serif" w:eastAsiaTheme="minorHAnsi" w:hAnsi="PT Serif" w:cs="PT Serif"/>
      <w:spacing w:val="2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4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8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475BC1"/>
  </w:style>
  <w:style w:type="character" w:customStyle="1" w:styleId="apple-converted-space">
    <w:name w:val="apple-converted-space"/>
    <w:basedOn w:val="a0"/>
    <w:rsid w:val="00475BC1"/>
  </w:style>
  <w:style w:type="character" w:styleId="a3">
    <w:name w:val="annotation reference"/>
    <w:basedOn w:val="a0"/>
    <w:uiPriority w:val="99"/>
    <w:semiHidden/>
    <w:unhideWhenUsed/>
    <w:rsid w:val="009643B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643B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643B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643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643B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6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68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488A"/>
    <w:pPr>
      <w:spacing w:after="160" w:line="259" w:lineRule="auto"/>
      <w:ind w:left="720"/>
      <w:contextualSpacing/>
    </w:pPr>
    <w:rPr>
      <w:rFonts w:ascii="PT Serif" w:eastAsiaTheme="minorHAnsi" w:hAnsi="PT Serif" w:cs="PT Serif"/>
      <w:spacing w:val="2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4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Nickolay Kornilov</dc:creator>
  <cp:lastModifiedBy>ivkolesnikova</cp:lastModifiedBy>
  <cp:revision>3</cp:revision>
  <dcterms:created xsi:type="dcterms:W3CDTF">2023-12-07T06:37:00Z</dcterms:created>
  <dcterms:modified xsi:type="dcterms:W3CDTF">2023-12-07T06:39:00Z</dcterms:modified>
</cp:coreProperties>
</file>